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F6" w:rsidRPr="006B51F6" w:rsidRDefault="006B51F6" w:rsidP="006B51F6">
      <w:pPr>
        <w:spacing w:line="240" w:lineRule="auto"/>
        <w:rPr>
          <w:rFonts w:ascii="Times New Roman" w:hAnsi="Times New Roman" w:cs="Times New Roman"/>
          <w:sz w:val="28"/>
          <w:szCs w:val="28"/>
        </w:rPr>
      </w:pPr>
      <w:r w:rsidRPr="006B51F6">
        <w:rPr>
          <w:rFonts w:ascii="Times New Roman" w:hAnsi="Times New Roman" w:cs="Times New Roman"/>
          <w:sz w:val="28"/>
          <w:szCs w:val="28"/>
        </w:rPr>
        <w:t>Pázmány Péter Katolikus Egyetem</w:t>
      </w:r>
    </w:p>
    <w:p w:rsidR="006B51F6" w:rsidRPr="006B51F6" w:rsidRDefault="006B51F6" w:rsidP="006B51F6">
      <w:pPr>
        <w:spacing w:line="240" w:lineRule="auto"/>
        <w:rPr>
          <w:rFonts w:ascii="Times New Roman" w:hAnsi="Times New Roman" w:cs="Times New Roman"/>
          <w:sz w:val="28"/>
          <w:szCs w:val="28"/>
        </w:rPr>
      </w:pPr>
      <w:r w:rsidRPr="006B51F6">
        <w:rPr>
          <w:rFonts w:ascii="Times New Roman" w:hAnsi="Times New Roman" w:cs="Times New Roman"/>
          <w:sz w:val="28"/>
          <w:szCs w:val="28"/>
        </w:rPr>
        <w:t>Jog- és Államtudományi Kar</w:t>
      </w:r>
    </w:p>
    <w:p w:rsidR="006B51F6" w:rsidRPr="006B51F6" w:rsidRDefault="006B51F6" w:rsidP="006B51F6">
      <w:pPr>
        <w:spacing w:line="240" w:lineRule="auto"/>
        <w:rPr>
          <w:rFonts w:ascii="Times New Roman" w:hAnsi="Times New Roman" w:cs="Times New Roman"/>
          <w:sz w:val="28"/>
          <w:szCs w:val="28"/>
        </w:rPr>
      </w:pPr>
      <w:r w:rsidRPr="006B51F6">
        <w:rPr>
          <w:rFonts w:ascii="Times New Roman" w:hAnsi="Times New Roman" w:cs="Times New Roman"/>
          <w:sz w:val="28"/>
          <w:szCs w:val="28"/>
        </w:rPr>
        <w:t>Európajogi és Nemzetközi Közjogi Tanszék</w:t>
      </w:r>
    </w:p>
    <w:p w:rsidR="006B51F6" w:rsidRDefault="006B51F6" w:rsidP="006B51F6">
      <w:pPr>
        <w:rPr>
          <w:rFonts w:ascii="Monotype Corsiva" w:hAnsi="Monotype Corsiva"/>
          <w:sz w:val="32"/>
          <w:szCs w:val="32"/>
        </w:rPr>
      </w:pPr>
    </w:p>
    <w:p w:rsidR="006B51F6" w:rsidRDefault="006B51F6" w:rsidP="006B51F6">
      <w:pPr>
        <w:jc w:val="center"/>
        <w:rPr>
          <w:rFonts w:ascii="Monotype Corsiva" w:hAnsi="Monotype Corsiva"/>
          <w:sz w:val="56"/>
          <w:szCs w:val="56"/>
        </w:rPr>
      </w:pPr>
    </w:p>
    <w:p w:rsidR="006B51F6" w:rsidRPr="006B51F6" w:rsidRDefault="006B51F6" w:rsidP="006B51F6">
      <w:pPr>
        <w:jc w:val="center"/>
        <w:rPr>
          <w:rFonts w:ascii="Times New Roman" w:hAnsi="Times New Roman" w:cs="Times New Roman"/>
          <w:b/>
          <w:sz w:val="72"/>
          <w:szCs w:val="72"/>
        </w:rPr>
      </w:pPr>
      <w:r w:rsidRPr="006B51F6">
        <w:rPr>
          <w:rFonts w:ascii="Times New Roman" w:hAnsi="Times New Roman" w:cs="Times New Roman"/>
          <w:b/>
          <w:sz w:val="72"/>
          <w:szCs w:val="72"/>
        </w:rPr>
        <w:t>A személyek szabad mozgása az Európai Unióban</w:t>
      </w:r>
    </w:p>
    <w:p w:rsidR="006B51F6" w:rsidRDefault="006B51F6" w:rsidP="006B51F6">
      <w:pPr>
        <w:jc w:val="center"/>
        <w:rPr>
          <w:rFonts w:ascii="Monotype Corsiva" w:hAnsi="Monotype Corsiva"/>
          <w:sz w:val="44"/>
          <w:szCs w:val="44"/>
        </w:rPr>
      </w:pPr>
    </w:p>
    <w:p w:rsidR="006B51F6" w:rsidRDefault="006B51F6" w:rsidP="006B51F6">
      <w:pPr>
        <w:rPr>
          <w:rFonts w:ascii="Monotype Corsiva" w:hAnsi="Monotype Corsiva"/>
          <w:sz w:val="44"/>
          <w:szCs w:val="44"/>
        </w:rPr>
      </w:pPr>
    </w:p>
    <w:p w:rsidR="006B51F6" w:rsidRDefault="006B51F6" w:rsidP="006B51F6">
      <w:pPr>
        <w:rPr>
          <w:rFonts w:ascii="Monotype Corsiva" w:hAnsi="Monotype Corsiva"/>
          <w:sz w:val="44"/>
          <w:szCs w:val="44"/>
        </w:rPr>
      </w:pPr>
    </w:p>
    <w:p w:rsidR="006B51F6" w:rsidRDefault="006B51F6" w:rsidP="006B51F6">
      <w:pPr>
        <w:rPr>
          <w:rFonts w:ascii="Monotype Corsiva" w:hAnsi="Monotype Corsiva"/>
          <w:sz w:val="44"/>
          <w:szCs w:val="44"/>
        </w:rPr>
      </w:pPr>
    </w:p>
    <w:p w:rsidR="006B51F6" w:rsidRDefault="006B51F6" w:rsidP="006B51F6">
      <w:pPr>
        <w:pStyle w:val="Listaszerbekezds"/>
        <w:rPr>
          <w:rFonts w:ascii="Monotype Corsiva" w:hAnsi="Monotype Corsiva"/>
          <w:sz w:val="44"/>
          <w:szCs w:val="44"/>
        </w:rPr>
      </w:pPr>
    </w:p>
    <w:p w:rsidR="006B51F6" w:rsidRDefault="006B51F6" w:rsidP="006B51F6">
      <w:pPr>
        <w:pStyle w:val="Listaszerbekezds"/>
        <w:jc w:val="right"/>
        <w:rPr>
          <w:rFonts w:ascii="Times New Roman" w:hAnsi="Times New Roman" w:cs="Times New Roman"/>
          <w:sz w:val="32"/>
          <w:szCs w:val="32"/>
          <w:u w:val="single"/>
        </w:rPr>
      </w:pPr>
      <w:r>
        <w:rPr>
          <w:rFonts w:ascii="Times New Roman" w:hAnsi="Times New Roman" w:cs="Times New Roman"/>
          <w:sz w:val="32"/>
          <w:szCs w:val="32"/>
          <w:u w:val="single"/>
        </w:rPr>
        <w:t>Készítette:</w:t>
      </w:r>
    </w:p>
    <w:p w:rsidR="006B51F6" w:rsidRDefault="006B51F6" w:rsidP="006B51F6">
      <w:pPr>
        <w:pStyle w:val="Listaszerbekezds"/>
        <w:jc w:val="right"/>
        <w:rPr>
          <w:rFonts w:ascii="Times New Roman" w:hAnsi="Times New Roman" w:cs="Times New Roman"/>
          <w:sz w:val="32"/>
          <w:szCs w:val="32"/>
        </w:rPr>
      </w:pPr>
      <w:r>
        <w:rPr>
          <w:rFonts w:ascii="Times New Roman" w:hAnsi="Times New Roman" w:cs="Times New Roman"/>
          <w:sz w:val="32"/>
          <w:szCs w:val="32"/>
        </w:rPr>
        <w:t>Kósa Loretta Tünde</w:t>
      </w:r>
    </w:p>
    <w:p w:rsidR="006B51F6" w:rsidRDefault="006B51F6" w:rsidP="006B51F6">
      <w:pPr>
        <w:pStyle w:val="Listaszerbekezds"/>
        <w:jc w:val="right"/>
        <w:rPr>
          <w:rFonts w:ascii="Times New Roman" w:hAnsi="Times New Roman" w:cs="Times New Roman"/>
          <w:sz w:val="32"/>
          <w:szCs w:val="32"/>
        </w:rPr>
      </w:pPr>
      <w:r>
        <w:rPr>
          <w:rFonts w:ascii="Times New Roman" w:hAnsi="Times New Roman" w:cs="Times New Roman"/>
          <w:sz w:val="32"/>
          <w:szCs w:val="32"/>
        </w:rPr>
        <w:t>Nemzetközi Igazgatási szak</w:t>
      </w:r>
    </w:p>
    <w:p w:rsidR="006B51F6" w:rsidRDefault="006B51F6" w:rsidP="006B51F6">
      <w:pPr>
        <w:pStyle w:val="Listaszerbekezds"/>
        <w:jc w:val="right"/>
        <w:rPr>
          <w:rFonts w:ascii="Times New Roman" w:hAnsi="Times New Roman" w:cs="Times New Roman"/>
          <w:sz w:val="32"/>
          <w:szCs w:val="32"/>
        </w:rPr>
      </w:pPr>
      <w:r>
        <w:rPr>
          <w:rFonts w:ascii="Times New Roman" w:hAnsi="Times New Roman" w:cs="Times New Roman"/>
          <w:sz w:val="32"/>
          <w:szCs w:val="32"/>
        </w:rPr>
        <w:t>Nappali tagozat, III. évfolyam</w:t>
      </w:r>
    </w:p>
    <w:p w:rsidR="006B51F6" w:rsidRDefault="006B51F6" w:rsidP="006B51F6">
      <w:pPr>
        <w:pStyle w:val="Listaszerbekezds"/>
        <w:jc w:val="right"/>
        <w:rPr>
          <w:rFonts w:ascii="Times New Roman" w:hAnsi="Times New Roman" w:cs="Times New Roman"/>
          <w:sz w:val="32"/>
          <w:szCs w:val="32"/>
        </w:rPr>
      </w:pPr>
    </w:p>
    <w:p w:rsidR="00081D61" w:rsidRDefault="00081D61" w:rsidP="006B51F6">
      <w:pPr>
        <w:pStyle w:val="Listaszerbekezds"/>
        <w:jc w:val="right"/>
        <w:rPr>
          <w:rFonts w:ascii="Times New Roman" w:hAnsi="Times New Roman" w:cs="Times New Roman"/>
          <w:sz w:val="32"/>
          <w:szCs w:val="32"/>
        </w:rPr>
      </w:pPr>
    </w:p>
    <w:p w:rsidR="006B51F6" w:rsidRDefault="006B51F6" w:rsidP="006B51F6">
      <w:pPr>
        <w:pStyle w:val="Listaszerbekezds"/>
        <w:jc w:val="right"/>
        <w:rPr>
          <w:rFonts w:ascii="Times New Roman" w:hAnsi="Times New Roman" w:cs="Times New Roman"/>
          <w:sz w:val="32"/>
          <w:szCs w:val="32"/>
          <w:u w:val="single"/>
        </w:rPr>
      </w:pPr>
      <w:r>
        <w:rPr>
          <w:rFonts w:ascii="Times New Roman" w:hAnsi="Times New Roman" w:cs="Times New Roman"/>
          <w:sz w:val="32"/>
          <w:szCs w:val="32"/>
          <w:u w:val="single"/>
        </w:rPr>
        <w:t>Oktató:</w:t>
      </w:r>
    </w:p>
    <w:p w:rsidR="006B51F6" w:rsidRDefault="006B51F6" w:rsidP="006B51F6">
      <w:pPr>
        <w:pStyle w:val="Listaszerbekezds"/>
        <w:jc w:val="right"/>
        <w:rPr>
          <w:rFonts w:ascii="Times New Roman" w:hAnsi="Times New Roman" w:cs="Times New Roman"/>
          <w:sz w:val="32"/>
          <w:szCs w:val="32"/>
        </w:rPr>
      </w:pPr>
      <w:r>
        <w:rPr>
          <w:rFonts w:ascii="Times New Roman" w:hAnsi="Times New Roman" w:cs="Times New Roman"/>
          <w:sz w:val="32"/>
          <w:szCs w:val="32"/>
        </w:rPr>
        <w:t>Dr. Gyenei Laura</w:t>
      </w:r>
    </w:p>
    <w:p w:rsidR="006B51F6" w:rsidRDefault="006B51F6" w:rsidP="0006458C">
      <w:pPr>
        <w:pStyle w:val="Listaszerbekezds"/>
        <w:jc w:val="right"/>
        <w:rPr>
          <w:rFonts w:ascii="Times New Roman" w:hAnsi="Times New Roman" w:cs="Times New Roman"/>
          <w:sz w:val="32"/>
          <w:szCs w:val="32"/>
        </w:rPr>
      </w:pPr>
      <w:r>
        <w:rPr>
          <w:rFonts w:ascii="Times New Roman" w:hAnsi="Times New Roman" w:cs="Times New Roman"/>
          <w:sz w:val="32"/>
          <w:szCs w:val="32"/>
        </w:rPr>
        <w:t>Egyetemi adjunktus</w:t>
      </w:r>
    </w:p>
    <w:p w:rsidR="00081D61" w:rsidRDefault="00081D61" w:rsidP="0006458C">
      <w:pPr>
        <w:pStyle w:val="Listaszerbekezds"/>
        <w:jc w:val="right"/>
        <w:rPr>
          <w:rFonts w:ascii="Times New Roman" w:hAnsi="Times New Roman" w:cs="Times New Roman"/>
          <w:sz w:val="32"/>
          <w:szCs w:val="32"/>
        </w:rPr>
      </w:pPr>
    </w:p>
    <w:p w:rsidR="00081D61" w:rsidRDefault="00081D61" w:rsidP="0006458C">
      <w:pPr>
        <w:pStyle w:val="Listaszerbekezds"/>
        <w:jc w:val="right"/>
        <w:rPr>
          <w:rFonts w:ascii="Times New Roman" w:hAnsi="Times New Roman" w:cs="Times New Roman"/>
          <w:sz w:val="32"/>
          <w:szCs w:val="32"/>
        </w:rPr>
      </w:pPr>
    </w:p>
    <w:p w:rsidR="006B51F6" w:rsidRDefault="006B51F6" w:rsidP="006904FF">
      <w:pPr>
        <w:autoSpaceDE w:val="0"/>
        <w:autoSpaceDN w:val="0"/>
        <w:adjustRightInd w:val="0"/>
        <w:spacing w:after="0" w:line="360" w:lineRule="auto"/>
        <w:rPr>
          <w:rFonts w:ascii="Times New Roman" w:hAnsi="Times New Roman" w:cs="Times New Roman"/>
          <w:sz w:val="24"/>
          <w:szCs w:val="24"/>
        </w:rPr>
      </w:pPr>
    </w:p>
    <w:p w:rsidR="004B76AA" w:rsidRDefault="004B76AA" w:rsidP="004B76AA">
      <w:pPr>
        <w:autoSpaceDE w:val="0"/>
        <w:autoSpaceDN w:val="0"/>
        <w:adjustRightInd w:val="0"/>
        <w:spacing w:after="0" w:line="360" w:lineRule="auto"/>
        <w:rPr>
          <w:rFonts w:ascii="Times New Roman" w:hAnsi="Times New Roman" w:cs="Times New Roman"/>
          <w:b/>
          <w:sz w:val="24"/>
          <w:szCs w:val="24"/>
        </w:rPr>
      </w:pPr>
      <w:bookmarkStart w:id="0" w:name="OLE_LINK1"/>
      <w:bookmarkStart w:id="1" w:name="OLE_LINK2"/>
      <w:r w:rsidRPr="004B76AA">
        <w:rPr>
          <w:rFonts w:ascii="Times New Roman" w:hAnsi="Times New Roman" w:cs="Times New Roman"/>
          <w:b/>
          <w:sz w:val="24"/>
          <w:szCs w:val="24"/>
        </w:rPr>
        <w:lastRenderedPageBreak/>
        <w:t>Bevezetés</w:t>
      </w:r>
    </w:p>
    <w:p w:rsidR="00675F35" w:rsidRPr="004B76AA" w:rsidRDefault="00675F35" w:rsidP="004B76AA">
      <w:pPr>
        <w:autoSpaceDE w:val="0"/>
        <w:autoSpaceDN w:val="0"/>
        <w:adjustRightInd w:val="0"/>
        <w:spacing w:after="0" w:line="360" w:lineRule="auto"/>
        <w:rPr>
          <w:rFonts w:ascii="Times New Roman" w:hAnsi="Times New Roman" w:cs="Times New Roman"/>
          <w:b/>
          <w:sz w:val="24"/>
          <w:szCs w:val="24"/>
        </w:rPr>
      </w:pPr>
    </w:p>
    <w:p w:rsidR="006904FF" w:rsidRDefault="006904FF" w:rsidP="004B76AA">
      <w:pPr>
        <w:autoSpaceDE w:val="0"/>
        <w:autoSpaceDN w:val="0"/>
        <w:adjustRightInd w:val="0"/>
        <w:spacing w:after="0" w:line="360" w:lineRule="auto"/>
        <w:rPr>
          <w:rFonts w:ascii="Times New Roman" w:hAnsi="Times New Roman" w:cs="Times New Roman"/>
          <w:sz w:val="24"/>
          <w:szCs w:val="24"/>
        </w:rPr>
      </w:pPr>
      <w:r w:rsidRPr="006904FF">
        <w:rPr>
          <w:rFonts w:ascii="Times New Roman" w:hAnsi="Times New Roman" w:cs="Times New Roman"/>
          <w:sz w:val="24"/>
          <w:szCs w:val="24"/>
        </w:rPr>
        <w:t xml:space="preserve">Amikor a személyek szabad mozgásának </w:t>
      </w:r>
      <w:r w:rsidR="00A65234">
        <w:rPr>
          <w:rFonts w:ascii="Times New Roman" w:hAnsi="Times New Roman" w:cs="Times New Roman"/>
          <w:sz w:val="24"/>
          <w:szCs w:val="24"/>
        </w:rPr>
        <w:t>jelentőségérő</w:t>
      </w:r>
      <w:r w:rsidRPr="006904FF">
        <w:rPr>
          <w:rFonts w:ascii="Times New Roman" w:hAnsi="Times New Roman" w:cs="Times New Roman"/>
          <w:sz w:val="24"/>
          <w:szCs w:val="24"/>
        </w:rPr>
        <w:t>l beszélünk, tisztában kell lennünk</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a kérdéskör komplexitásával, azzal, hogy jogi, közgazdaságtani, történelmi,</w:t>
      </w:r>
      <w:r w:rsidR="00A65234">
        <w:rPr>
          <w:rFonts w:ascii="Times New Roman" w:hAnsi="Times New Roman" w:cs="Times New Roman"/>
          <w:sz w:val="24"/>
          <w:szCs w:val="24"/>
        </w:rPr>
        <w:t xml:space="preserve"> szociológiai, </w:t>
      </w:r>
      <w:r w:rsidRPr="006904FF">
        <w:rPr>
          <w:rFonts w:ascii="Times New Roman" w:hAnsi="Times New Roman" w:cs="Times New Roman"/>
          <w:sz w:val="24"/>
          <w:szCs w:val="24"/>
        </w:rPr>
        <w:t>pszichológiai és sok más szempontból</w:t>
      </w:r>
      <w:r w:rsidR="00A65234">
        <w:rPr>
          <w:rFonts w:ascii="Times New Roman" w:hAnsi="Times New Roman" w:cs="Times New Roman"/>
          <w:sz w:val="24"/>
          <w:szCs w:val="24"/>
        </w:rPr>
        <w:t xml:space="preserve"> is mélyrehatóan értelmezhető kérdésrő</w:t>
      </w:r>
      <w:r w:rsidRPr="006904FF">
        <w:rPr>
          <w:rFonts w:ascii="Times New Roman" w:hAnsi="Times New Roman" w:cs="Times New Roman"/>
          <w:sz w:val="24"/>
          <w:szCs w:val="24"/>
        </w:rPr>
        <w:t>l</w:t>
      </w:r>
      <w:r w:rsidR="00A65234">
        <w:rPr>
          <w:rFonts w:ascii="Times New Roman" w:hAnsi="Times New Roman" w:cs="Times New Roman"/>
          <w:sz w:val="24"/>
          <w:szCs w:val="24"/>
        </w:rPr>
        <w:t xml:space="preserve"> van szó. Alapvető</w:t>
      </w:r>
      <w:r w:rsidRPr="006904FF">
        <w:rPr>
          <w:rFonts w:ascii="Times New Roman" w:hAnsi="Times New Roman" w:cs="Times New Roman"/>
          <w:sz w:val="24"/>
          <w:szCs w:val="24"/>
        </w:rPr>
        <w:t>en nem szerencsés</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a témát csak a</w:t>
      </w:r>
      <w:r w:rsidR="004B76AA">
        <w:rPr>
          <w:rFonts w:ascii="Times New Roman" w:hAnsi="Times New Roman" w:cs="Times New Roman"/>
          <w:sz w:val="24"/>
          <w:szCs w:val="24"/>
        </w:rPr>
        <w:t>z Európai Unióra</w:t>
      </w:r>
      <w:r w:rsidRPr="006904FF">
        <w:rPr>
          <w:rFonts w:ascii="Times New Roman" w:hAnsi="Times New Roman" w:cs="Times New Roman"/>
          <w:sz w:val="24"/>
          <w:szCs w:val="24"/>
        </w:rPr>
        <w:t xml:space="preserve"> korlátozni, hiszen a tárgykör</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hatósugara ennél sokkal szélesebb, és az</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EU-ra korlátozott vizsgálódás esetleg tévesen</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azt sugallhatja,</w:t>
      </w:r>
      <w:r w:rsidR="00A65234">
        <w:rPr>
          <w:rFonts w:ascii="Times New Roman" w:hAnsi="Times New Roman" w:cs="Times New Roman"/>
          <w:sz w:val="24"/>
          <w:szCs w:val="24"/>
        </w:rPr>
        <w:t xml:space="preserve"> hogy egy új, európai jelenségrő</w:t>
      </w:r>
      <w:r w:rsidRPr="006904FF">
        <w:rPr>
          <w:rFonts w:ascii="Times New Roman" w:hAnsi="Times New Roman" w:cs="Times New Roman"/>
          <w:sz w:val="24"/>
          <w:szCs w:val="24"/>
        </w:rPr>
        <w:t>l</w:t>
      </w:r>
      <w:r w:rsidR="00A65234">
        <w:rPr>
          <w:rFonts w:ascii="Times New Roman" w:hAnsi="Times New Roman" w:cs="Times New Roman"/>
          <w:sz w:val="24"/>
          <w:szCs w:val="24"/>
        </w:rPr>
        <w:t xml:space="preserve"> </w:t>
      </w:r>
      <w:r w:rsidRPr="006904FF">
        <w:rPr>
          <w:rFonts w:ascii="Times New Roman" w:hAnsi="Times New Roman" w:cs="Times New Roman"/>
          <w:sz w:val="24"/>
          <w:szCs w:val="24"/>
        </w:rPr>
        <w:t>van szó. Jelen bemutatásban mindenesetre</w:t>
      </w:r>
      <w:r w:rsidR="00A65234">
        <w:rPr>
          <w:rFonts w:ascii="Times New Roman" w:hAnsi="Times New Roman" w:cs="Times New Roman"/>
          <w:sz w:val="24"/>
          <w:szCs w:val="24"/>
        </w:rPr>
        <w:t xml:space="preserve"> elegendő</w:t>
      </w:r>
      <w:r w:rsidRPr="006904FF">
        <w:rPr>
          <w:rFonts w:ascii="Times New Roman" w:hAnsi="Times New Roman" w:cs="Times New Roman"/>
          <w:sz w:val="24"/>
          <w:szCs w:val="24"/>
        </w:rPr>
        <w:t xml:space="preserve"> utalni a szélesebb nemzetközi</w:t>
      </w:r>
      <w:r w:rsidR="00675F35">
        <w:rPr>
          <w:rFonts w:ascii="Times New Roman" w:hAnsi="Times New Roman" w:cs="Times New Roman"/>
          <w:sz w:val="24"/>
          <w:szCs w:val="24"/>
        </w:rPr>
        <w:t xml:space="preserve"> kontextusra.</w:t>
      </w:r>
      <w:r w:rsidR="00675F35">
        <w:rPr>
          <w:rStyle w:val="Lbjegyzet-hivatkozs"/>
          <w:rFonts w:ascii="Times New Roman" w:hAnsi="Times New Roman" w:cs="Times New Roman"/>
          <w:sz w:val="24"/>
          <w:szCs w:val="24"/>
        </w:rPr>
        <w:footnoteReference w:id="1"/>
      </w:r>
    </w:p>
    <w:p w:rsidR="00675F35" w:rsidRDefault="00675F35" w:rsidP="00675F35">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 a dolgozat tehát a személyek Európai Unión belüli szabad mozgásával kapcsolatos szabályozás vizsgálatára és az alapvető kérdések tisztázására helyezi a fő hangsúlyt, egyszersmind jogesetekre reflektálva. </w:t>
      </w:r>
    </w:p>
    <w:p w:rsidR="00675F35" w:rsidRDefault="00675F35" w:rsidP="00675F35">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Kimerítő és teljes bemutatás azonban nem lehetséges e keretek között. Ehelyett a dolgozat egyfajta metszetet, egyben panorámát kíván nyújtani. </w:t>
      </w:r>
    </w:p>
    <w:p w:rsidR="0006458C" w:rsidRDefault="00A65234" w:rsidP="004B76A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következő</w:t>
      </w:r>
      <w:r w:rsidR="00675F35">
        <w:rPr>
          <w:rFonts w:ascii="Times New Roman" w:hAnsi="Times New Roman" w:cs="Times New Roman"/>
          <w:sz w:val="24"/>
          <w:szCs w:val="24"/>
        </w:rPr>
        <w:t>kben úgy próbálom</w:t>
      </w:r>
      <w:r w:rsidR="006904FF" w:rsidRPr="006904FF">
        <w:rPr>
          <w:rFonts w:ascii="Times New Roman" w:hAnsi="Times New Roman" w:cs="Times New Roman"/>
          <w:sz w:val="24"/>
          <w:szCs w:val="24"/>
        </w:rPr>
        <w:t xml:space="preserve"> meg bemutatni</w:t>
      </w:r>
      <w:r>
        <w:rPr>
          <w:rFonts w:ascii="Times New Roman" w:hAnsi="Times New Roman" w:cs="Times New Roman"/>
          <w:sz w:val="24"/>
          <w:szCs w:val="24"/>
        </w:rPr>
        <w:t xml:space="preserve"> </w:t>
      </w:r>
      <w:r w:rsidR="00DD30D8">
        <w:rPr>
          <w:rFonts w:ascii="Times New Roman" w:hAnsi="Times New Roman" w:cs="Times New Roman"/>
          <w:sz w:val="24"/>
          <w:szCs w:val="24"/>
        </w:rPr>
        <w:t xml:space="preserve">a személyek </w:t>
      </w:r>
      <w:r w:rsidR="006904FF" w:rsidRPr="006904FF">
        <w:rPr>
          <w:rFonts w:ascii="Times New Roman" w:hAnsi="Times New Roman" w:cs="Times New Roman"/>
          <w:sz w:val="24"/>
          <w:szCs w:val="24"/>
        </w:rPr>
        <w:t>szabad mozgására</w:t>
      </w:r>
      <w:r>
        <w:rPr>
          <w:rFonts w:ascii="Times New Roman" w:hAnsi="Times New Roman" w:cs="Times New Roman"/>
          <w:sz w:val="24"/>
          <w:szCs w:val="24"/>
        </w:rPr>
        <w:t xml:space="preserve"> </w:t>
      </w:r>
      <w:r w:rsidR="006904FF" w:rsidRPr="006904FF">
        <w:rPr>
          <w:rFonts w:ascii="Times New Roman" w:hAnsi="Times New Roman" w:cs="Times New Roman"/>
          <w:sz w:val="24"/>
          <w:szCs w:val="24"/>
        </w:rPr>
        <w:t>vonatkozó európai közösségi jogi szabályokat,</w:t>
      </w:r>
      <w:r>
        <w:rPr>
          <w:rFonts w:ascii="Times New Roman" w:hAnsi="Times New Roman" w:cs="Times New Roman"/>
          <w:sz w:val="24"/>
          <w:szCs w:val="24"/>
        </w:rPr>
        <w:t xml:space="preserve"> hogy a legalapvető</w:t>
      </w:r>
      <w:r w:rsidR="00675F35">
        <w:rPr>
          <w:rFonts w:ascii="Times New Roman" w:hAnsi="Times New Roman" w:cs="Times New Roman"/>
          <w:sz w:val="24"/>
          <w:szCs w:val="24"/>
        </w:rPr>
        <w:t>bb kérdések ismertetésére, illetve megválaszolására kerül sor</w:t>
      </w:r>
      <w:r w:rsidR="006904FF" w:rsidRPr="006904FF">
        <w:rPr>
          <w:rFonts w:ascii="Times New Roman" w:hAnsi="Times New Roman" w:cs="Times New Roman"/>
          <w:sz w:val="24"/>
          <w:szCs w:val="24"/>
        </w:rPr>
        <w:t xml:space="preserve">. </w:t>
      </w:r>
    </w:p>
    <w:p w:rsidR="0006458C" w:rsidRDefault="0006458C"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081D61" w:rsidRDefault="00081D61"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F40D5B" w:rsidRDefault="00F40D5B" w:rsidP="004B76AA">
      <w:pPr>
        <w:autoSpaceDE w:val="0"/>
        <w:autoSpaceDN w:val="0"/>
        <w:adjustRightInd w:val="0"/>
        <w:spacing w:after="0" w:line="360" w:lineRule="auto"/>
        <w:rPr>
          <w:rFonts w:ascii="Times New Roman" w:hAnsi="Times New Roman" w:cs="Times New Roman"/>
          <w:sz w:val="24"/>
          <w:szCs w:val="24"/>
        </w:rPr>
      </w:pPr>
    </w:p>
    <w:p w:rsidR="0006458C" w:rsidRDefault="0006458C" w:rsidP="0006458C">
      <w:pPr>
        <w:pStyle w:val="Listaszerbekezds"/>
        <w:numPr>
          <w:ilvl w:val="0"/>
          <w:numId w:val="4"/>
        </w:numPr>
        <w:autoSpaceDE w:val="0"/>
        <w:autoSpaceDN w:val="0"/>
        <w:adjustRightInd w:val="0"/>
        <w:spacing w:after="0" w:line="360" w:lineRule="auto"/>
        <w:rPr>
          <w:rFonts w:ascii="Times New Roman" w:hAnsi="Times New Roman" w:cs="Times New Roman"/>
          <w:b/>
          <w:sz w:val="24"/>
          <w:szCs w:val="24"/>
        </w:rPr>
      </w:pPr>
      <w:r w:rsidRPr="0006458C">
        <w:rPr>
          <w:rFonts w:ascii="Times New Roman" w:hAnsi="Times New Roman" w:cs="Times New Roman"/>
          <w:b/>
          <w:sz w:val="24"/>
          <w:szCs w:val="24"/>
        </w:rPr>
        <w:lastRenderedPageBreak/>
        <w:t>Alapfogalmak</w:t>
      </w:r>
    </w:p>
    <w:p w:rsidR="0006458C" w:rsidRDefault="0006458C" w:rsidP="0006458C">
      <w:pPr>
        <w:pStyle w:val="Listaszerbekezds"/>
        <w:numPr>
          <w:ilvl w:val="0"/>
          <w:numId w:val="5"/>
        </w:numPr>
        <w:autoSpaceDE w:val="0"/>
        <w:autoSpaceDN w:val="0"/>
        <w:adjustRightInd w:val="0"/>
        <w:spacing w:after="0" w:line="360" w:lineRule="auto"/>
        <w:rPr>
          <w:rFonts w:ascii="Times New Roman" w:hAnsi="Times New Roman" w:cs="Times New Roman"/>
          <w:sz w:val="24"/>
          <w:szCs w:val="24"/>
        </w:rPr>
      </w:pPr>
      <w:r w:rsidRPr="0006458C">
        <w:rPr>
          <w:rFonts w:ascii="Times New Roman" w:hAnsi="Times New Roman" w:cs="Times New Roman"/>
          <w:sz w:val="24"/>
          <w:szCs w:val="24"/>
        </w:rPr>
        <w:t>Személy</w:t>
      </w:r>
      <w:r>
        <w:rPr>
          <w:rFonts w:ascii="Times New Roman" w:hAnsi="Times New Roman" w:cs="Times New Roman"/>
          <w:sz w:val="24"/>
          <w:szCs w:val="24"/>
        </w:rPr>
        <w:t>: ez a fogalom a tárgyalt téma szempontjából gyakorlatilag minden uniós polgárt magába foglal, ide sorolhatók a munkavállalók, az önálló vállalkozók, a szolgáltatásnyújtók, a diákok, a nyugdíjasok, a magukat önerőből eltartók, továbbá mindezek családtagjai (akkor is, ha nem uniós polgárok).</w:t>
      </w:r>
      <w:r w:rsidR="00A05E6A">
        <w:rPr>
          <w:rStyle w:val="Lbjegyzet-hivatkozs"/>
          <w:rFonts w:ascii="Times New Roman" w:hAnsi="Times New Roman" w:cs="Times New Roman"/>
          <w:sz w:val="24"/>
          <w:szCs w:val="24"/>
        </w:rPr>
        <w:footnoteReference w:id="2"/>
      </w:r>
    </w:p>
    <w:p w:rsidR="0006458C" w:rsidRPr="00D3532D" w:rsidRDefault="0006458C" w:rsidP="0006458C">
      <w:pPr>
        <w:pStyle w:val="Listaszerbekezds"/>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Uniós polgárság: </w:t>
      </w:r>
      <w:r w:rsidR="008A21BF">
        <w:rPr>
          <w:rFonts w:ascii="Times New Roman" w:hAnsi="Times New Roman" w:cs="Times New Roman"/>
          <w:sz w:val="24"/>
          <w:szCs w:val="24"/>
        </w:rPr>
        <w:t>az uniós polgárság jogintézményét a Maastrichti Szerződés iktatta be az Európai Közösséget létrehozó szerződébe.</w:t>
      </w:r>
      <w:r w:rsidR="008A21BF">
        <w:rPr>
          <w:rStyle w:val="Lbjegyzet-hivatkozs"/>
          <w:rFonts w:ascii="Times New Roman" w:hAnsi="Times New Roman" w:cs="Times New Roman"/>
          <w:sz w:val="24"/>
          <w:szCs w:val="24"/>
        </w:rPr>
        <w:footnoteReference w:id="3"/>
      </w:r>
      <w:r w:rsidR="00A05E6A">
        <w:rPr>
          <w:rFonts w:ascii="Times New Roman" w:hAnsi="Times New Roman" w:cs="Times New Roman"/>
          <w:sz w:val="24"/>
          <w:szCs w:val="24"/>
        </w:rPr>
        <w:t xml:space="preserve"> A 17. cikk rendelkezése szerint </w:t>
      </w:r>
      <w:r w:rsidR="00803BD1">
        <w:rPr>
          <w:rFonts w:ascii="Times New Roman" w:hAnsi="Times New Roman" w:cs="Times New Roman"/>
          <w:i/>
          <w:sz w:val="24"/>
          <w:szCs w:val="24"/>
        </w:rPr>
        <w:t>„</w:t>
      </w:r>
      <w:r w:rsidR="00A05E6A" w:rsidRPr="00A05E6A">
        <w:rPr>
          <w:rFonts w:ascii="Times New Roman" w:hAnsi="Times New Roman" w:cs="Times New Roman"/>
          <w:i/>
          <w:sz w:val="24"/>
          <w:szCs w:val="24"/>
        </w:rPr>
        <w:t>Uniós polgár mindenki, aki valamely tagállam állampolgára.”</w:t>
      </w:r>
      <w:r w:rsidR="00FA2E72" w:rsidRPr="00FA2E72">
        <w:t xml:space="preserve"> </w:t>
      </w:r>
      <w:r w:rsidR="00FA2E72" w:rsidRPr="00FA2E72">
        <w:rPr>
          <w:rFonts w:ascii="Times New Roman" w:hAnsi="Times New Roman" w:cs="Times New Roman"/>
          <w:sz w:val="24"/>
          <w:szCs w:val="24"/>
        </w:rPr>
        <w:t xml:space="preserve">Ezt az Amszterdami szerződés-módosítás tovább folytatta: </w:t>
      </w:r>
      <w:r w:rsidR="00FA2E72" w:rsidRPr="00FA2E72">
        <w:rPr>
          <w:rFonts w:ascii="Times New Roman" w:hAnsi="Times New Roman" w:cs="Times New Roman"/>
          <w:i/>
          <w:sz w:val="24"/>
          <w:szCs w:val="24"/>
        </w:rPr>
        <w:t>„Az uniós polgárság kiegészíti és nem helyettesíti</w:t>
      </w:r>
      <w:r w:rsidR="00803BD1">
        <w:rPr>
          <w:rFonts w:ascii="Times New Roman" w:hAnsi="Times New Roman" w:cs="Times New Roman"/>
          <w:i/>
          <w:sz w:val="24"/>
          <w:szCs w:val="24"/>
        </w:rPr>
        <w:t xml:space="preserve"> a nemzeti állampolgárságot”.</w:t>
      </w:r>
      <w:r w:rsidR="00FA2E72" w:rsidRPr="00FA2E72">
        <w:rPr>
          <w:rFonts w:ascii="Times New Roman" w:hAnsi="Times New Roman" w:cs="Times New Roman"/>
          <w:i/>
          <w:sz w:val="24"/>
          <w:szCs w:val="24"/>
        </w:rPr>
        <w:t xml:space="preserve"> </w:t>
      </w:r>
      <w:r w:rsidR="00A05E6A">
        <w:rPr>
          <w:rStyle w:val="Lbjegyzet-hivatkozs"/>
          <w:rFonts w:ascii="Times New Roman" w:hAnsi="Times New Roman" w:cs="Times New Roman"/>
          <w:i/>
          <w:sz w:val="24"/>
          <w:szCs w:val="24"/>
        </w:rPr>
        <w:footnoteReference w:id="4"/>
      </w:r>
      <w:r w:rsidR="00A05E6A" w:rsidRPr="00A05E6A">
        <w:rPr>
          <w:rFonts w:ascii="Times New Roman" w:hAnsi="Times New Roman" w:cs="Times New Roman"/>
          <w:i/>
          <w:sz w:val="24"/>
          <w:szCs w:val="24"/>
        </w:rPr>
        <w:t xml:space="preserve"> </w:t>
      </w:r>
    </w:p>
    <w:p w:rsidR="00D3532D" w:rsidRDefault="00D3532D" w:rsidP="0006458C">
      <w:pPr>
        <w:pStyle w:val="Listaszerbekezds"/>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Az uniós polgár jogosultságai: szabad mozgás; önkormányzati és európai parlamenti közvetlen választásokon aktív és passzív választójog; más tagállam külképviselete általi védelem azokban az országokban, ahol az állampolgársága szerinti ország nem rendelkezik képviselettel; európai ombudsmanhoz való fordulás joga.</w:t>
      </w:r>
      <w:r w:rsidR="006F6AE7">
        <w:rPr>
          <w:rStyle w:val="Lbjegyzet-hivatkozs"/>
          <w:rFonts w:ascii="Times New Roman" w:hAnsi="Times New Roman" w:cs="Times New Roman"/>
          <w:sz w:val="24"/>
          <w:szCs w:val="24"/>
        </w:rPr>
        <w:footnoteReference w:id="5"/>
      </w:r>
    </w:p>
    <w:p w:rsidR="006904FF" w:rsidRDefault="00D3532D" w:rsidP="004B76AA">
      <w:pPr>
        <w:pStyle w:val="Listaszerbekezds"/>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szabad mozgás joga:</w:t>
      </w:r>
      <w:r w:rsidR="00BD18B6">
        <w:rPr>
          <w:rFonts w:ascii="Times New Roman" w:hAnsi="Times New Roman" w:cs="Times New Roman"/>
          <w:sz w:val="24"/>
          <w:szCs w:val="24"/>
        </w:rPr>
        <w:t xml:space="preserve"> a személyek szabad mozgása az uniós polgárok azon jogát jelenti, hogy családtagjaival együtt más uniós tagállamba szabadon belépjen, ott tartózkodjon, és ott bármilyen legális, ezen belül is az uniós jog által szabályozott és védett, gazdasági vagy nem gazdasági célú tevékenységet folytasson</w:t>
      </w:r>
      <w:r w:rsidR="00F40D5B">
        <w:rPr>
          <w:rFonts w:ascii="Times New Roman" w:hAnsi="Times New Roman" w:cs="Times New Roman"/>
          <w:sz w:val="24"/>
          <w:szCs w:val="24"/>
        </w:rPr>
        <w:t>.</w:t>
      </w:r>
      <w:r w:rsidR="00BD18B6">
        <w:rPr>
          <w:rFonts w:ascii="Times New Roman" w:hAnsi="Times New Roman" w:cs="Times New Roman"/>
          <w:sz w:val="24"/>
          <w:szCs w:val="24"/>
        </w:rPr>
        <w:t xml:space="preserve"> A személyek szabd mozgásának (és egy másik tagállam területén való tartózkodásának) biztosítása az Európai Unió fundamentumának részévé vált.</w:t>
      </w:r>
      <w:r w:rsidR="00F40D5B">
        <w:rPr>
          <w:rStyle w:val="Lbjegyzet-hivatkozs"/>
          <w:rFonts w:ascii="Times New Roman" w:hAnsi="Times New Roman" w:cs="Times New Roman"/>
          <w:sz w:val="24"/>
          <w:szCs w:val="24"/>
        </w:rPr>
        <w:footnoteReference w:id="6"/>
      </w:r>
    </w:p>
    <w:p w:rsidR="00675F35" w:rsidRDefault="00675F35" w:rsidP="00675F35">
      <w:pPr>
        <w:pStyle w:val="Listaszerbekezds"/>
        <w:autoSpaceDE w:val="0"/>
        <w:autoSpaceDN w:val="0"/>
        <w:adjustRightInd w:val="0"/>
        <w:spacing w:after="0" w:line="360" w:lineRule="auto"/>
        <w:rPr>
          <w:rFonts w:ascii="Times New Roman" w:hAnsi="Times New Roman" w:cs="Times New Roman"/>
          <w:sz w:val="24"/>
          <w:szCs w:val="24"/>
        </w:rPr>
      </w:pPr>
    </w:p>
    <w:p w:rsidR="003F18F2" w:rsidRDefault="00332327" w:rsidP="003F18F2">
      <w:pPr>
        <w:pStyle w:val="Listaszerbekezds"/>
        <w:numPr>
          <w:ilvl w:val="0"/>
          <w:numId w:val="4"/>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Előzmények, háttéranyag</w:t>
      </w:r>
    </w:p>
    <w:p w:rsidR="006E13B9" w:rsidRPr="006E13B9" w:rsidRDefault="006E13B9" w:rsidP="006E13B9">
      <w:pPr>
        <w:autoSpaceDE w:val="0"/>
        <w:autoSpaceDN w:val="0"/>
        <w:adjustRightInd w:val="0"/>
        <w:spacing w:after="0" w:line="360" w:lineRule="auto"/>
        <w:ind w:left="360"/>
        <w:rPr>
          <w:rFonts w:ascii="Times New Roman" w:hAnsi="Times New Roman" w:cs="Times New Roman"/>
          <w:b/>
          <w:sz w:val="24"/>
          <w:szCs w:val="24"/>
        </w:rPr>
      </w:pPr>
    </w:p>
    <w:p w:rsidR="003F18F2" w:rsidRPr="003F18F2" w:rsidRDefault="003F18F2" w:rsidP="003F18F2">
      <w:pPr>
        <w:autoSpaceDE w:val="0"/>
        <w:autoSpaceDN w:val="0"/>
        <w:adjustRightInd w:val="0"/>
        <w:spacing w:after="0" w:line="360" w:lineRule="auto"/>
        <w:rPr>
          <w:rFonts w:ascii="Times New Roman" w:hAnsi="Times New Roman" w:cs="Times New Roman"/>
          <w:sz w:val="24"/>
          <w:szCs w:val="24"/>
        </w:rPr>
      </w:pPr>
      <w:r w:rsidRPr="003F18F2">
        <w:rPr>
          <w:rFonts w:ascii="Times New Roman" w:hAnsi="Times New Roman" w:cs="Times New Roman"/>
          <w:sz w:val="24"/>
          <w:szCs w:val="24"/>
        </w:rPr>
        <w:t xml:space="preserve">Az Európai Unió négy alapszabadságának egyike – az áruk, a tőke és a szolgáltatások szabad áramlása mellett – a személyek szabad mozgása. Napjainkban a szabad mozgás joga állampolgárságra való tekintet nélkül minden tagállami állampolgárt megillet. A közösségi szabályozásban 1993-tól hatályos az az alapelv, mely szerint minden tagállami állampolgár az </w:t>
      </w:r>
      <w:r w:rsidRPr="003F18F2">
        <w:rPr>
          <w:rFonts w:ascii="Times New Roman" w:hAnsi="Times New Roman" w:cs="Times New Roman"/>
          <w:sz w:val="24"/>
          <w:szCs w:val="24"/>
        </w:rPr>
        <w:lastRenderedPageBreak/>
        <w:t xml:space="preserve">Európai Unió polgára is egyben, akinek alapjoga a szabad munkavállalás, letelepedés és vállalkozás bármely uniós tagországban. </w:t>
      </w:r>
    </w:p>
    <w:p w:rsidR="003F18F2" w:rsidRPr="003F18F2" w:rsidRDefault="003F18F2" w:rsidP="003F18F2">
      <w:pPr>
        <w:spacing w:line="360" w:lineRule="auto"/>
        <w:rPr>
          <w:rFonts w:ascii="Times New Roman" w:hAnsi="Times New Roman" w:cs="Times New Roman"/>
          <w:sz w:val="24"/>
          <w:szCs w:val="24"/>
        </w:rPr>
      </w:pPr>
      <w:r w:rsidRPr="003F18F2">
        <w:rPr>
          <w:rFonts w:ascii="Times New Roman" w:hAnsi="Times New Roman" w:cs="Times New Roman"/>
          <w:sz w:val="24"/>
          <w:szCs w:val="24"/>
        </w:rPr>
        <w:t xml:space="preserve">Sőt, földrajzilag vizsgálva, a személyek szabad mozgása nem csak a 27 uniós tagállam között érvényesül. Az Európai Gazdasági Térség tagországaival kötött megállapodás értelmében további három ország: Liechtenstein, Norvégia és Izland állampolgárai is jogosultak arra, hogy az EU területére határátlépési formalitások nélkül szabadon </w:t>
      </w:r>
      <w:r w:rsidR="006E13B9" w:rsidRPr="003F18F2">
        <w:rPr>
          <w:rFonts w:ascii="Times New Roman" w:hAnsi="Times New Roman" w:cs="Times New Roman"/>
          <w:sz w:val="24"/>
          <w:szCs w:val="24"/>
        </w:rPr>
        <w:t>belépjenek,</w:t>
      </w:r>
      <w:r w:rsidRPr="003F18F2">
        <w:rPr>
          <w:rFonts w:ascii="Times New Roman" w:hAnsi="Times New Roman" w:cs="Times New Roman"/>
          <w:sz w:val="24"/>
          <w:szCs w:val="24"/>
        </w:rPr>
        <w:t xml:space="preserve"> és ott szabadon vállaljanak munkát.</w:t>
      </w:r>
      <w:r>
        <w:rPr>
          <w:rStyle w:val="Lbjegyzet-hivatkozs"/>
          <w:rFonts w:ascii="Times New Roman" w:hAnsi="Times New Roman" w:cs="Times New Roman"/>
          <w:sz w:val="24"/>
          <w:szCs w:val="24"/>
        </w:rPr>
        <w:footnoteReference w:id="7"/>
      </w:r>
      <w:r w:rsidRPr="003F18F2">
        <w:rPr>
          <w:rFonts w:ascii="Times New Roman" w:hAnsi="Times New Roman" w:cs="Times New Roman"/>
          <w:sz w:val="24"/>
          <w:szCs w:val="24"/>
        </w:rPr>
        <w:t xml:space="preserve"> </w:t>
      </w:r>
    </w:p>
    <w:p w:rsidR="005827E8" w:rsidRPr="005827E8" w:rsidRDefault="005827E8" w:rsidP="005827E8">
      <w:pPr>
        <w:autoSpaceDE w:val="0"/>
        <w:autoSpaceDN w:val="0"/>
        <w:adjustRightInd w:val="0"/>
        <w:spacing w:after="0" w:line="360" w:lineRule="auto"/>
        <w:rPr>
          <w:rFonts w:ascii="Times New Roman" w:hAnsi="Times New Roman" w:cs="Times New Roman"/>
          <w:b/>
          <w:sz w:val="24"/>
          <w:szCs w:val="24"/>
        </w:rPr>
      </w:pPr>
    </w:p>
    <w:p w:rsidR="005827E8" w:rsidRDefault="005827E8" w:rsidP="005827E8">
      <w:pPr>
        <w:pStyle w:val="Listaszerbekezds"/>
        <w:numPr>
          <w:ilvl w:val="0"/>
          <w:numId w:val="4"/>
        </w:numPr>
        <w:spacing w:line="360" w:lineRule="auto"/>
        <w:rPr>
          <w:rFonts w:ascii="Times New Roman" w:hAnsi="Times New Roman" w:cs="Times New Roman"/>
          <w:b/>
          <w:sz w:val="24"/>
          <w:szCs w:val="24"/>
        </w:rPr>
      </w:pPr>
      <w:r w:rsidRPr="005827E8">
        <w:rPr>
          <w:rFonts w:ascii="Times New Roman" w:hAnsi="Times New Roman" w:cs="Times New Roman"/>
          <w:b/>
          <w:sz w:val="24"/>
          <w:szCs w:val="24"/>
        </w:rPr>
        <w:t>A szabad mozgás mint uniós polgári jog</w:t>
      </w:r>
      <w:r w:rsidR="006C37BE">
        <w:rPr>
          <w:rFonts w:ascii="Times New Roman" w:hAnsi="Times New Roman" w:cs="Times New Roman"/>
          <w:b/>
          <w:sz w:val="24"/>
          <w:szCs w:val="24"/>
        </w:rPr>
        <w:t xml:space="preserve"> </w:t>
      </w:r>
    </w:p>
    <w:p w:rsidR="006C37BE" w:rsidRPr="006C37BE" w:rsidRDefault="006C37BE" w:rsidP="006C37BE">
      <w:pPr>
        <w:spacing w:line="360" w:lineRule="auto"/>
        <w:rPr>
          <w:rFonts w:ascii="Times New Roman" w:hAnsi="Times New Roman" w:cs="Times New Roman"/>
          <w:sz w:val="24"/>
          <w:szCs w:val="24"/>
        </w:rPr>
      </w:pPr>
      <w:r w:rsidRPr="006C37BE">
        <w:rPr>
          <w:rFonts w:ascii="Times New Roman" w:hAnsi="Times New Roman" w:cs="Times New Roman"/>
          <w:sz w:val="24"/>
          <w:szCs w:val="24"/>
        </w:rPr>
        <w:t xml:space="preserve">(Az uniós </w:t>
      </w:r>
      <w:r>
        <w:rPr>
          <w:rFonts w:ascii="Times New Roman" w:hAnsi="Times New Roman" w:cs="Times New Roman"/>
          <w:sz w:val="24"/>
          <w:szCs w:val="24"/>
        </w:rPr>
        <w:t>polgársághoz kapcsolódó jogokat jelenleg az EUMSz 20-24.cikkei bontják ki.)</w:t>
      </w:r>
    </w:p>
    <w:p w:rsidR="005827E8" w:rsidRDefault="005827E8" w:rsidP="005827E8">
      <w:pPr>
        <w:spacing w:line="360" w:lineRule="auto"/>
        <w:rPr>
          <w:rFonts w:ascii="Times New Roman" w:hAnsi="Times New Roman" w:cs="Times New Roman"/>
          <w:sz w:val="24"/>
          <w:szCs w:val="24"/>
        </w:rPr>
      </w:pPr>
      <w:r>
        <w:rPr>
          <w:rFonts w:ascii="Times New Roman" w:hAnsi="Times New Roman" w:cs="Times New Roman"/>
          <w:sz w:val="24"/>
          <w:szCs w:val="24"/>
        </w:rPr>
        <w:t>Az EK-Szerződés 18. cikke átfogóan rögzíti az uniós polgárok jogát, mely szerint szabadon mozoghatnak és tartózkodhatnak a tagállamok területén. Az uniós polgárok szabad mobilitása ezzel leválik a tipikusan gazdaságilag meghatározott célokról, amelyek a munkavállalók és a szolgáltatások szabad áramlását vagy a letelepedési szabadságot alapozták meg. Ez a mozgásszabadság közvetlenül érvényes, nem kíván további jogi aktusokat a közösségi szervek vagy a tagállamok oldalán. Mindenesetre az általános mozgásszabadság csak „az e szerződésben és a végrehajtására hozott intézkedésekben megállapított korlátozásokkal és feltételekkel” érvényes (EKSz. 18. cikk (1) bek.). Ez a megkötés mind</w:t>
      </w:r>
      <w:r w:rsidR="00FA2E72">
        <w:rPr>
          <w:rFonts w:ascii="Times New Roman" w:hAnsi="Times New Roman" w:cs="Times New Roman"/>
          <w:sz w:val="24"/>
          <w:szCs w:val="24"/>
        </w:rPr>
        <w:t>enek</w:t>
      </w:r>
      <w:r>
        <w:rPr>
          <w:rFonts w:ascii="Times New Roman" w:hAnsi="Times New Roman" w:cs="Times New Roman"/>
          <w:sz w:val="24"/>
          <w:szCs w:val="24"/>
        </w:rPr>
        <w:t xml:space="preserve">előtt a másodlagos jog előírásaira vonatkozik, amelyek lehetővé teszik a tagállamok számára, hogy a nem kereső munkavállalók, diákok és egyéb EU- polgárok tartózkodási jogát attól tegyék függővé, hogy rendelkeznek-e a létfenntartásukhoz szükséges pénzeszközökkel és betegbiztosítással. Ennek célja annak megakadályozása, hogy a szociális segély igénybevétele legyen a mobilitás fő indítéka a nem kereső EU-polgárok számára. Ettől a megszorítástól eltekintve három irányelv biztosítja az átfogó tartózkodási jogot, amely a mindenkori fogadó államban végzett kereső tevékenység függvénye.  Ezek a 90/364/EGKSz. irányelv az általános tartózkodásról, a 90/365/EGKSz. irányelv a már nem kereső munkavállalók és önálló tevékenységet végzők tartózkodási jogáról, valamint a 93/96/EGKSz. irányelv a diákok tartózkodási jogáról.  </w:t>
      </w:r>
    </w:p>
    <w:p w:rsidR="005827E8" w:rsidRDefault="005827E8" w:rsidP="005827E8">
      <w:pPr>
        <w:spacing w:line="360" w:lineRule="auto"/>
        <w:rPr>
          <w:rFonts w:ascii="Times New Roman" w:hAnsi="Times New Roman" w:cs="Times New Roman"/>
        </w:rPr>
      </w:pPr>
      <w:r>
        <w:rPr>
          <w:rFonts w:ascii="Times New Roman" w:hAnsi="Times New Roman" w:cs="Times New Roman"/>
        </w:rPr>
        <w:t xml:space="preserve">Németországban 1997. szeptember 1. óta van érvényben a szabad mozgásról szóló rendelet, amely a három tartózkodási joggal kapcsolatos említett irányelvet ülteti át a nemzeti jogba. </w:t>
      </w:r>
    </w:p>
    <w:p w:rsidR="005827E8" w:rsidRPr="005827E8" w:rsidRDefault="005827E8" w:rsidP="005827E8">
      <w:pPr>
        <w:spacing w:line="360" w:lineRule="auto"/>
        <w:rPr>
          <w:rFonts w:ascii="Times New Roman" w:hAnsi="Times New Roman" w:cs="Times New Roman"/>
        </w:rPr>
      </w:pPr>
      <w:r>
        <w:rPr>
          <w:rFonts w:ascii="Times New Roman" w:hAnsi="Times New Roman" w:cs="Times New Roman"/>
        </w:rPr>
        <w:lastRenderedPageBreak/>
        <w:t xml:space="preserve">Az </w:t>
      </w:r>
      <w:r w:rsidR="003F18F2">
        <w:rPr>
          <w:rFonts w:ascii="Times New Roman" w:hAnsi="Times New Roman" w:cs="Times New Roman"/>
        </w:rPr>
        <w:t>EK-Szerződés</w:t>
      </w:r>
      <w:r>
        <w:rPr>
          <w:rFonts w:ascii="Times New Roman" w:hAnsi="Times New Roman" w:cs="Times New Roman"/>
        </w:rPr>
        <w:t xml:space="preserve"> 18. cikk (2) bek. szerint a Tanács a Bizottság javaslatára az Európai Parlament bevonásával (egyhangúan) hozhat rendelkezéseket, amelyek segítik az általános mozgásszabadsághoz fűződő jog gyakorlását. </w:t>
      </w:r>
      <w:bookmarkEnd w:id="0"/>
      <w:bookmarkEnd w:id="1"/>
    </w:p>
    <w:p w:rsidR="00281375" w:rsidRPr="00F40D5B" w:rsidRDefault="00281375" w:rsidP="00F40D5B">
      <w:pPr>
        <w:pStyle w:val="Listaszerbekezds"/>
        <w:numPr>
          <w:ilvl w:val="0"/>
          <w:numId w:val="4"/>
        </w:numPr>
        <w:autoSpaceDE w:val="0"/>
        <w:autoSpaceDN w:val="0"/>
        <w:adjustRightInd w:val="0"/>
        <w:spacing w:after="0" w:line="360" w:lineRule="auto"/>
        <w:rPr>
          <w:rFonts w:ascii="Times New Roman" w:hAnsi="Times New Roman" w:cs="Times New Roman"/>
          <w:b/>
          <w:iCs/>
          <w:sz w:val="24"/>
          <w:szCs w:val="24"/>
        </w:rPr>
      </w:pPr>
      <w:r w:rsidRPr="00F40D5B">
        <w:rPr>
          <w:rFonts w:ascii="Times New Roman" w:hAnsi="Times New Roman" w:cs="Times New Roman"/>
          <w:b/>
          <w:iCs/>
          <w:sz w:val="24"/>
          <w:szCs w:val="24"/>
        </w:rPr>
        <w:t>Mit jelent</w:t>
      </w:r>
      <w:r w:rsidR="00180DAA">
        <w:rPr>
          <w:rFonts w:ascii="Times New Roman" w:hAnsi="Times New Roman" w:cs="Times New Roman"/>
          <w:b/>
          <w:iCs/>
          <w:sz w:val="24"/>
          <w:szCs w:val="24"/>
        </w:rPr>
        <w:t xml:space="preserve"> pontosan</w:t>
      </w:r>
      <w:r w:rsidRPr="00F40D5B">
        <w:rPr>
          <w:rFonts w:ascii="Times New Roman" w:hAnsi="Times New Roman" w:cs="Times New Roman"/>
          <w:b/>
          <w:iCs/>
          <w:sz w:val="24"/>
          <w:szCs w:val="24"/>
        </w:rPr>
        <w:t xml:space="preserve"> a személyek szabad mozgása?</w:t>
      </w:r>
    </w:p>
    <w:p w:rsidR="00281375" w:rsidRPr="00281375" w:rsidRDefault="00281375" w:rsidP="00281375">
      <w:pPr>
        <w:autoSpaceDE w:val="0"/>
        <w:autoSpaceDN w:val="0"/>
        <w:adjustRightInd w:val="0"/>
        <w:spacing w:after="0" w:line="360" w:lineRule="auto"/>
        <w:rPr>
          <w:rFonts w:ascii="Times New Roman" w:hAnsi="Times New Roman" w:cs="Times New Roman"/>
          <w:i/>
          <w:iCs/>
          <w:sz w:val="24"/>
          <w:szCs w:val="24"/>
        </w:rPr>
      </w:pPr>
    </w:p>
    <w:p w:rsidR="00281375" w:rsidRPr="00281375" w:rsidRDefault="00281375" w:rsidP="00281375">
      <w:pPr>
        <w:autoSpaceDE w:val="0"/>
        <w:autoSpaceDN w:val="0"/>
        <w:adjustRightInd w:val="0"/>
        <w:spacing w:after="0" w:line="360" w:lineRule="auto"/>
        <w:rPr>
          <w:rFonts w:ascii="Times New Roman" w:hAnsi="Times New Roman" w:cs="Times New Roman"/>
          <w:sz w:val="24"/>
          <w:szCs w:val="24"/>
        </w:rPr>
      </w:pPr>
      <w:r w:rsidRPr="00281375">
        <w:rPr>
          <w:rFonts w:ascii="Times New Roman" w:hAnsi="Times New Roman" w:cs="Times New Roman"/>
          <w:sz w:val="24"/>
          <w:szCs w:val="24"/>
        </w:rPr>
        <w:t xml:space="preserve">1987-ben az Egységes Európai Okmánnyal </w:t>
      </w:r>
      <w:r w:rsidR="003D1CA8">
        <w:rPr>
          <w:rFonts w:ascii="Times New Roman" w:hAnsi="Times New Roman" w:cs="Times New Roman"/>
          <w:sz w:val="24"/>
          <w:szCs w:val="24"/>
        </w:rPr>
        <w:t>a tagállamok megalkották a belső</w:t>
      </w:r>
      <w:r w:rsidRPr="00281375">
        <w:rPr>
          <w:rFonts w:ascii="Times New Roman" w:hAnsi="Times New Roman" w:cs="Times New Roman"/>
          <w:sz w:val="24"/>
          <w:szCs w:val="24"/>
        </w:rPr>
        <w:t xml:space="preserve"> piac alapjait, amelyen belül – többek között – a személyek szabad mozgása alapelv megvalósulását tűzték k</w:t>
      </w:r>
      <w:r w:rsidR="003D1CA8">
        <w:rPr>
          <w:rFonts w:ascii="Times New Roman" w:hAnsi="Times New Roman" w:cs="Times New Roman"/>
          <w:sz w:val="24"/>
          <w:szCs w:val="24"/>
        </w:rPr>
        <w:t>i célul. 1993 januárjára a belső piac létre is jött. Ettől az idő</w:t>
      </w:r>
      <w:r w:rsidRPr="00281375">
        <w:rPr>
          <w:rFonts w:ascii="Times New Roman" w:hAnsi="Times New Roman" w:cs="Times New Roman"/>
          <w:sz w:val="24"/>
          <w:szCs w:val="24"/>
        </w:rPr>
        <w:t xml:space="preserve">ponttól kezdve az EU tagállamainak állampolgárai, </w:t>
      </w:r>
      <w:r w:rsidR="006E13B9">
        <w:rPr>
          <w:rFonts w:ascii="Times New Roman" w:hAnsi="Times New Roman" w:cs="Times New Roman"/>
          <w:sz w:val="24"/>
          <w:szCs w:val="24"/>
        </w:rPr>
        <w:t>illetve ahogyan a koráb</w:t>
      </w:r>
      <w:r w:rsidR="00DD30D8">
        <w:rPr>
          <w:rFonts w:ascii="Times New Roman" w:hAnsi="Times New Roman" w:cs="Times New Roman"/>
          <w:sz w:val="24"/>
          <w:szCs w:val="24"/>
        </w:rPr>
        <w:t>biakban említésre került,1994-tő</w:t>
      </w:r>
      <w:r w:rsidR="006E13B9">
        <w:rPr>
          <w:rFonts w:ascii="Times New Roman" w:hAnsi="Times New Roman" w:cs="Times New Roman"/>
          <w:sz w:val="24"/>
          <w:szCs w:val="24"/>
        </w:rPr>
        <w:t>l, valamint</w:t>
      </w:r>
      <w:r w:rsidR="003D1CA8">
        <w:rPr>
          <w:rFonts w:ascii="Times New Roman" w:hAnsi="Times New Roman" w:cs="Times New Roman"/>
          <w:sz w:val="24"/>
          <w:szCs w:val="24"/>
        </w:rPr>
        <w:t xml:space="preserve"> Liechtenstein esetében 1995-tő</w:t>
      </w:r>
      <w:r w:rsidRPr="00281375">
        <w:rPr>
          <w:rFonts w:ascii="Times New Roman" w:hAnsi="Times New Roman" w:cs="Times New Roman"/>
          <w:sz w:val="24"/>
          <w:szCs w:val="24"/>
        </w:rPr>
        <w:t>l az Európai Gazdasági Térség országainak állampolgárai is jogosultak arra, hogy az EU területén szabadon utazzanak, mindennemű határátlépési formalitás betartásának kötelezettsége</w:t>
      </w:r>
      <w:r w:rsidR="003D1CA8">
        <w:rPr>
          <w:rFonts w:ascii="Times New Roman" w:hAnsi="Times New Roman" w:cs="Times New Roman"/>
          <w:sz w:val="24"/>
          <w:szCs w:val="24"/>
        </w:rPr>
        <w:t xml:space="preserve"> </w:t>
      </w:r>
      <w:r w:rsidRPr="00281375">
        <w:rPr>
          <w:rFonts w:ascii="Times New Roman" w:hAnsi="Times New Roman" w:cs="Times New Roman"/>
          <w:sz w:val="24"/>
          <w:szCs w:val="24"/>
        </w:rPr>
        <w:t>nélkül. Ahogyan az EU-polgár fogalmával és jogaival f</w:t>
      </w:r>
      <w:r w:rsidR="003D1CA8">
        <w:rPr>
          <w:rFonts w:ascii="Times New Roman" w:hAnsi="Times New Roman" w:cs="Times New Roman"/>
          <w:sz w:val="24"/>
          <w:szCs w:val="24"/>
        </w:rPr>
        <w:t>oglalkozó, az Amszterdami Szerződéssel módosított Római Szerző</w:t>
      </w:r>
      <w:r w:rsidRPr="00281375">
        <w:rPr>
          <w:rFonts w:ascii="Times New Roman" w:hAnsi="Times New Roman" w:cs="Times New Roman"/>
          <w:sz w:val="24"/>
          <w:szCs w:val="24"/>
        </w:rPr>
        <w:t>dés kimondja: „</w:t>
      </w:r>
      <w:r w:rsidRPr="00281375">
        <w:rPr>
          <w:rFonts w:ascii="Times New Roman" w:hAnsi="Times New Roman" w:cs="Times New Roman"/>
          <w:i/>
          <w:iCs/>
          <w:sz w:val="24"/>
          <w:szCs w:val="24"/>
        </w:rPr>
        <w:t>Ezennel</w:t>
      </w:r>
      <w:r w:rsidRPr="00281375">
        <w:rPr>
          <w:rFonts w:ascii="Times New Roman" w:hAnsi="Times New Roman" w:cs="Times New Roman"/>
          <w:sz w:val="24"/>
          <w:szCs w:val="24"/>
        </w:rPr>
        <w:t xml:space="preserve"> </w:t>
      </w:r>
      <w:r w:rsidRPr="00281375">
        <w:rPr>
          <w:rFonts w:ascii="Times New Roman" w:hAnsi="Times New Roman" w:cs="Times New Roman"/>
          <w:i/>
          <w:iCs/>
          <w:sz w:val="24"/>
          <w:szCs w:val="24"/>
        </w:rPr>
        <w:t>megalapítjuk az uniós polgárságot. Az Unió</w:t>
      </w:r>
      <w:r w:rsidR="006E13B9">
        <w:rPr>
          <w:rFonts w:ascii="Times New Roman" w:hAnsi="Times New Roman" w:cs="Times New Roman"/>
          <w:sz w:val="24"/>
          <w:szCs w:val="24"/>
        </w:rPr>
        <w:t xml:space="preserve"> </w:t>
      </w:r>
      <w:r w:rsidR="003D1CA8">
        <w:rPr>
          <w:rFonts w:ascii="Times New Roman" w:hAnsi="Times New Roman" w:cs="Times New Roman"/>
          <w:i/>
          <w:iCs/>
          <w:sz w:val="24"/>
          <w:szCs w:val="24"/>
        </w:rPr>
        <w:t>polgárának minő</w:t>
      </w:r>
      <w:r w:rsidRPr="00281375">
        <w:rPr>
          <w:rFonts w:ascii="Times New Roman" w:hAnsi="Times New Roman" w:cs="Times New Roman"/>
          <w:i/>
          <w:iCs/>
          <w:sz w:val="24"/>
          <w:szCs w:val="24"/>
        </w:rPr>
        <w:t>sülnek a tagállamok állampolgárai</w:t>
      </w:r>
      <w:r w:rsidRPr="00281375">
        <w:rPr>
          <w:rFonts w:ascii="Times New Roman" w:hAnsi="Times New Roman" w:cs="Times New Roman"/>
          <w:sz w:val="24"/>
          <w:szCs w:val="24"/>
        </w:rPr>
        <w:t xml:space="preserve">… </w:t>
      </w:r>
      <w:r w:rsidRPr="00281375">
        <w:rPr>
          <w:rFonts w:ascii="Times New Roman" w:hAnsi="Times New Roman" w:cs="Times New Roman"/>
          <w:i/>
          <w:iCs/>
          <w:sz w:val="24"/>
          <w:szCs w:val="24"/>
        </w:rPr>
        <w:t>Minden uniós polgárnak joga</w:t>
      </w:r>
      <w:r w:rsidRPr="00281375">
        <w:rPr>
          <w:rFonts w:ascii="Times New Roman" w:hAnsi="Times New Roman" w:cs="Times New Roman"/>
          <w:sz w:val="24"/>
          <w:szCs w:val="24"/>
        </w:rPr>
        <w:t xml:space="preserve"> </w:t>
      </w:r>
      <w:r w:rsidRPr="00281375">
        <w:rPr>
          <w:rFonts w:ascii="Times New Roman" w:hAnsi="Times New Roman" w:cs="Times New Roman"/>
          <w:i/>
          <w:iCs/>
          <w:sz w:val="24"/>
          <w:szCs w:val="24"/>
        </w:rPr>
        <w:t>van szabadon mozogni és letelepedni a tagállamok</w:t>
      </w:r>
      <w:r w:rsidRPr="00281375">
        <w:rPr>
          <w:rFonts w:ascii="Times New Roman" w:hAnsi="Times New Roman" w:cs="Times New Roman"/>
          <w:sz w:val="24"/>
          <w:szCs w:val="24"/>
        </w:rPr>
        <w:t xml:space="preserve"> </w:t>
      </w:r>
      <w:r w:rsidR="003D1CA8">
        <w:rPr>
          <w:rFonts w:ascii="Times New Roman" w:hAnsi="Times New Roman" w:cs="Times New Roman"/>
          <w:i/>
          <w:iCs/>
          <w:sz w:val="24"/>
          <w:szCs w:val="24"/>
        </w:rPr>
        <w:t>területén, a Szerző</w:t>
      </w:r>
      <w:r w:rsidRPr="00281375">
        <w:rPr>
          <w:rFonts w:ascii="Times New Roman" w:hAnsi="Times New Roman" w:cs="Times New Roman"/>
          <w:i/>
          <w:iCs/>
          <w:sz w:val="24"/>
          <w:szCs w:val="24"/>
        </w:rPr>
        <w:t>dés rendelkezéseinek</w:t>
      </w:r>
      <w:r w:rsidRPr="00281375">
        <w:rPr>
          <w:rFonts w:ascii="Times New Roman" w:hAnsi="Times New Roman" w:cs="Times New Roman"/>
          <w:sz w:val="24"/>
          <w:szCs w:val="24"/>
        </w:rPr>
        <w:t xml:space="preserve"> </w:t>
      </w:r>
      <w:r w:rsidRPr="00281375">
        <w:rPr>
          <w:rFonts w:ascii="Times New Roman" w:hAnsi="Times New Roman" w:cs="Times New Roman"/>
          <w:i/>
          <w:iCs/>
          <w:sz w:val="24"/>
          <w:szCs w:val="24"/>
        </w:rPr>
        <w:t>és azok végrehajtási szabályainak a</w:t>
      </w:r>
      <w:r w:rsidRPr="00281375">
        <w:rPr>
          <w:rFonts w:ascii="Times New Roman" w:hAnsi="Times New Roman" w:cs="Times New Roman"/>
          <w:sz w:val="24"/>
          <w:szCs w:val="24"/>
        </w:rPr>
        <w:t xml:space="preserve"> </w:t>
      </w:r>
      <w:r w:rsidRPr="00281375">
        <w:rPr>
          <w:rFonts w:ascii="Times New Roman" w:hAnsi="Times New Roman" w:cs="Times New Roman"/>
          <w:i/>
          <w:iCs/>
          <w:sz w:val="24"/>
          <w:szCs w:val="24"/>
        </w:rPr>
        <w:t>figyelembevételével.</w:t>
      </w:r>
      <w:r w:rsidRPr="00281375">
        <w:rPr>
          <w:rFonts w:ascii="Times New Roman" w:hAnsi="Times New Roman" w:cs="Times New Roman"/>
          <w:sz w:val="24"/>
          <w:szCs w:val="24"/>
        </w:rPr>
        <w:t>”</w:t>
      </w:r>
    </w:p>
    <w:p w:rsidR="00C3694D" w:rsidRDefault="00281375" w:rsidP="00281375">
      <w:pPr>
        <w:autoSpaceDE w:val="0"/>
        <w:autoSpaceDN w:val="0"/>
        <w:adjustRightInd w:val="0"/>
        <w:spacing w:after="0" w:line="360" w:lineRule="auto"/>
        <w:rPr>
          <w:rFonts w:ascii="Times New Roman" w:hAnsi="Times New Roman" w:cs="Times New Roman"/>
          <w:sz w:val="24"/>
          <w:szCs w:val="24"/>
        </w:rPr>
      </w:pPr>
      <w:r w:rsidRPr="00281375">
        <w:rPr>
          <w:rFonts w:ascii="Times New Roman" w:hAnsi="Times New Roman" w:cs="Times New Roman"/>
          <w:sz w:val="24"/>
          <w:szCs w:val="24"/>
        </w:rPr>
        <w:t>A „személyek szabad áramlása” azonban en</w:t>
      </w:r>
      <w:r w:rsidR="003D1CA8">
        <w:rPr>
          <w:rFonts w:ascii="Times New Roman" w:hAnsi="Times New Roman" w:cs="Times New Roman"/>
          <w:sz w:val="24"/>
          <w:szCs w:val="24"/>
        </w:rPr>
        <w:t>nél sokkal többet jelent, és időben sokkal korábbra tehető</w:t>
      </w:r>
      <w:r w:rsidRPr="00281375">
        <w:rPr>
          <w:rFonts w:ascii="Times New Roman" w:hAnsi="Times New Roman" w:cs="Times New Roman"/>
          <w:sz w:val="24"/>
          <w:szCs w:val="24"/>
        </w:rPr>
        <w:t xml:space="preserve"> k</w:t>
      </w:r>
      <w:r w:rsidR="003D1CA8">
        <w:rPr>
          <w:rFonts w:ascii="Times New Roman" w:hAnsi="Times New Roman" w:cs="Times New Roman"/>
          <w:sz w:val="24"/>
          <w:szCs w:val="24"/>
        </w:rPr>
        <w:t>onkrét eredményei is vannak. Elő</w:t>
      </w:r>
      <w:r w:rsidRPr="00281375">
        <w:rPr>
          <w:rFonts w:ascii="Times New Roman" w:hAnsi="Times New Roman" w:cs="Times New Roman"/>
          <w:sz w:val="24"/>
          <w:szCs w:val="24"/>
        </w:rPr>
        <w:t>ször ezért értelmezni kell a „személyek szabad mo</w:t>
      </w:r>
      <w:r w:rsidR="003D1CA8">
        <w:rPr>
          <w:rFonts w:ascii="Times New Roman" w:hAnsi="Times New Roman" w:cs="Times New Roman"/>
          <w:sz w:val="24"/>
          <w:szCs w:val="24"/>
        </w:rPr>
        <w:t>zgása” fogalmat, mégpedig két fő</w:t>
      </w:r>
      <w:r w:rsidRPr="00281375">
        <w:rPr>
          <w:rFonts w:ascii="Times New Roman" w:hAnsi="Times New Roman" w:cs="Times New Roman"/>
          <w:sz w:val="24"/>
          <w:szCs w:val="24"/>
        </w:rPr>
        <w:t xml:space="preserve"> tartalma szerint. Meg kell határoznunk, hogy kik a „személy” fogalomba tartozók,</w:t>
      </w:r>
      <w:r w:rsidR="003D1CA8">
        <w:rPr>
          <w:rFonts w:ascii="Times New Roman" w:hAnsi="Times New Roman" w:cs="Times New Roman"/>
          <w:sz w:val="24"/>
          <w:szCs w:val="24"/>
        </w:rPr>
        <w:t xml:space="preserve"> </w:t>
      </w:r>
      <w:r w:rsidRPr="00281375">
        <w:rPr>
          <w:rFonts w:ascii="Times New Roman" w:hAnsi="Times New Roman" w:cs="Times New Roman"/>
          <w:sz w:val="24"/>
          <w:szCs w:val="24"/>
        </w:rPr>
        <w:t>továbbá mit jelent a gyakorlatban, hogy nekik joguk van „szabadon mozogni”.</w:t>
      </w:r>
      <w:r w:rsidR="006D4AC0">
        <w:rPr>
          <w:rStyle w:val="Lbjegyzet-hivatkozs"/>
          <w:rFonts w:ascii="Times New Roman" w:hAnsi="Times New Roman" w:cs="Times New Roman"/>
          <w:sz w:val="24"/>
          <w:szCs w:val="24"/>
        </w:rPr>
        <w:footnoteReference w:id="8"/>
      </w:r>
    </w:p>
    <w:p w:rsidR="00281375" w:rsidRPr="00F40D5B" w:rsidRDefault="00281375" w:rsidP="00F40D5B">
      <w:pPr>
        <w:autoSpaceDE w:val="0"/>
        <w:autoSpaceDN w:val="0"/>
        <w:adjustRightInd w:val="0"/>
        <w:spacing w:after="0" w:line="360" w:lineRule="auto"/>
        <w:rPr>
          <w:rFonts w:ascii="Times New Roman" w:hAnsi="Times New Roman" w:cs="Times New Roman"/>
          <w:b/>
          <w:sz w:val="24"/>
          <w:szCs w:val="24"/>
        </w:rPr>
      </w:pPr>
    </w:p>
    <w:p w:rsidR="00281375" w:rsidRPr="00F40D5B" w:rsidRDefault="00281375" w:rsidP="00F40D5B">
      <w:pPr>
        <w:pStyle w:val="Listaszerbekezds"/>
        <w:numPr>
          <w:ilvl w:val="0"/>
          <w:numId w:val="4"/>
        </w:numPr>
        <w:autoSpaceDE w:val="0"/>
        <w:autoSpaceDN w:val="0"/>
        <w:adjustRightInd w:val="0"/>
        <w:spacing w:after="0" w:line="360" w:lineRule="auto"/>
        <w:rPr>
          <w:rFonts w:ascii="Times New Roman" w:hAnsi="Times New Roman" w:cs="Times New Roman"/>
          <w:b/>
          <w:bCs/>
          <w:iCs/>
          <w:sz w:val="24"/>
          <w:szCs w:val="24"/>
        </w:rPr>
      </w:pPr>
      <w:r w:rsidRPr="00F40D5B">
        <w:rPr>
          <w:rFonts w:ascii="Times New Roman" w:hAnsi="Times New Roman" w:cs="Times New Roman"/>
          <w:b/>
          <w:bCs/>
          <w:iCs/>
          <w:sz w:val="24"/>
          <w:szCs w:val="24"/>
        </w:rPr>
        <w:t>Kik azok a személyek, akik szabadon mozoghatnak?</w:t>
      </w:r>
    </w:p>
    <w:p w:rsidR="00281375" w:rsidRPr="00281375" w:rsidRDefault="00281375" w:rsidP="00281375">
      <w:pPr>
        <w:autoSpaceDE w:val="0"/>
        <w:autoSpaceDN w:val="0"/>
        <w:adjustRightInd w:val="0"/>
        <w:spacing w:after="0" w:line="360" w:lineRule="auto"/>
        <w:jc w:val="center"/>
        <w:rPr>
          <w:rFonts w:ascii="Times New Roman" w:hAnsi="Times New Roman" w:cs="Times New Roman"/>
          <w:bCs/>
          <w:iCs/>
          <w:sz w:val="24"/>
          <w:szCs w:val="24"/>
        </w:rPr>
      </w:pPr>
    </w:p>
    <w:p w:rsidR="00C46594" w:rsidRPr="00C46594" w:rsidRDefault="00281375" w:rsidP="00C46594">
      <w:pPr>
        <w:autoSpaceDE w:val="0"/>
        <w:autoSpaceDN w:val="0"/>
        <w:adjustRightInd w:val="0"/>
        <w:spacing w:after="0" w:line="360" w:lineRule="auto"/>
        <w:rPr>
          <w:rFonts w:ascii="Times New Roman" w:hAnsi="Times New Roman" w:cs="Times New Roman"/>
          <w:sz w:val="24"/>
          <w:szCs w:val="24"/>
        </w:rPr>
      </w:pPr>
      <w:r w:rsidRPr="00281375">
        <w:rPr>
          <w:rFonts w:ascii="Times New Roman" w:hAnsi="Times New Roman" w:cs="Times New Roman"/>
          <w:sz w:val="24"/>
          <w:szCs w:val="24"/>
        </w:rPr>
        <w:t>A „személy” fogalmát az Európai Unióban sajátosan értelmezik. A jogosultságok szintjén valójában minden EU-polgár beletartozik, a mozgás gyakorlati kivitelezése tekintetében azonban a csoportok szerinti megközelítés elve érvényesül. Eszerint vannak bizonyos kategóriák, amelyekbe a személyeket besorolják, és ezekhez a kategóriákhoz rendelnek Európa-szerte közös és követend</w:t>
      </w:r>
      <w:r w:rsidR="00C46594">
        <w:rPr>
          <w:rFonts w:ascii="Times New Roman" w:hAnsi="Times New Roman" w:cs="Times New Roman"/>
          <w:sz w:val="24"/>
          <w:szCs w:val="24"/>
        </w:rPr>
        <w:t xml:space="preserve">ő </w:t>
      </w:r>
      <w:r w:rsidRPr="00281375">
        <w:rPr>
          <w:rFonts w:ascii="Times New Roman" w:hAnsi="Times New Roman" w:cs="Times New Roman"/>
          <w:sz w:val="24"/>
          <w:szCs w:val="24"/>
        </w:rPr>
        <w:t xml:space="preserve">„szabad mozgási” szabályokat és feltételeket. Nem lehet </w:t>
      </w:r>
      <w:r w:rsidRPr="00C46594">
        <w:rPr>
          <w:rFonts w:ascii="Times New Roman" w:hAnsi="Times New Roman" w:cs="Times New Roman"/>
          <w:sz w:val="24"/>
          <w:szCs w:val="24"/>
        </w:rPr>
        <w:t xml:space="preserve">tehát általában </w:t>
      </w:r>
      <w:r w:rsidR="00C46594" w:rsidRPr="00C46594">
        <w:rPr>
          <w:rFonts w:ascii="Times New Roman" w:hAnsi="Times New Roman" w:cs="Times New Roman"/>
          <w:sz w:val="24"/>
          <w:szCs w:val="24"/>
        </w:rPr>
        <w:t>„</w:t>
      </w:r>
      <w:r w:rsidR="00C46594">
        <w:rPr>
          <w:rFonts w:ascii="Times New Roman" w:hAnsi="Times New Roman" w:cs="Times New Roman"/>
          <w:sz w:val="24"/>
          <w:szCs w:val="24"/>
        </w:rPr>
        <w:t>személyekrő</w:t>
      </w:r>
      <w:r w:rsidR="003D1CA8">
        <w:rPr>
          <w:rFonts w:ascii="Times New Roman" w:hAnsi="Times New Roman" w:cs="Times New Roman"/>
          <w:sz w:val="24"/>
          <w:szCs w:val="24"/>
        </w:rPr>
        <w:t>l” és az ő</w:t>
      </w:r>
      <w:r w:rsidR="00C46594" w:rsidRPr="00C46594">
        <w:rPr>
          <w:rFonts w:ascii="Times New Roman" w:hAnsi="Times New Roman" w:cs="Times New Roman"/>
          <w:sz w:val="24"/>
          <w:szCs w:val="24"/>
        </w:rPr>
        <w:t xml:space="preserve"> jogaikról beszélni, csak a meghatározott személyi </w:t>
      </w:r>
      <w:r w:rsidR="00C46594" w:rsidRPr="00C46594">
        <w:rPr>
          <w:rFonts w:ascii="Times New Roman" w:hAnsi="Times New Roman" w:cs="Times New Roman"/>
          <w:sz w:val="24"/>
          <w:szCs w:val="24"/>
        </w:rPr>
        <w:lastRenderedPageBreak/>
        <w:t>kategóriákra vonatkozó szabályokat lehet bemutatni, amelyek fedhetik egymá</w:t>
      </w:r>
      <w:r w:rsidR="00C46594">
        <w:rPr>
          <w:rFonts w:ascii="Times New Roman" w:hAnsi="Times New Roman" w:cs="Times New Roman"/>
          <w:sz w:val="24"/>
          <w:szCs w:val="24"/>
        </w:rPr>
        <w:t>st, de különböző</w:t>
      </w:r>
      <w:r w:rsidR="00C46594" w:rsidRPr="00C46594">
        <w:rPr>
          <w:rFonts w:ascii="Times New Roman" w:hAnsi="Times New Roman" w:cs="Times New Roman"/>
          <w:sz w:val="24"/>
          <w:szCs w:val="24"/>
        </w:rPr>
        <w:t>ek is lehetnek.</w:t>
      </w:r>
    </w:p>
    <w:p w:rsidR="00281375" w:rsidRDefault="00C46594" w:rsidP="00C46594">
      <w:pPr>
        <w:autoSpaceDE w:val="0"/>
        <w:autoSpaceDN w:val="0"/>
        <w:adjustRightInd w:val="0"/>
        <w:spacing w:after="0" w:line="360" w:lineRule="auto"/>
        <w:rPr>
          <w:rFonts w:ascii="Times New Roman" w:hAnsi="Times New Roman" w:cs="Times New Roman"/>
          <w:sz w:val="24"/>
          <w:szCs w:val="24"/>
        </w:rPr>
      </w:pPr>
      <w:r w:rsidRPr="00C46594">
        <w:rPr>
          <w:rFonts w:ascii="Times New Roman" w:hAnsi="Times New Roman" w:cs="Times New Roman"/>
          <w:sz w:val="24"/>
          <w:szCs w:val="24"/>
        </w:rPr>
        <w:t xml:space="preserve">Kezdetben csak a közösségi munkavállalók (közösségi munkavállaló az, aki az EU-n vagy az EGT-n belül, de nem az állampolgársága szerinti országban végez munkát) és családtagjaik, </w:t>
      </w:r>
      <w:r>
        <w:rPr>
          <w:rFonts w:ascii="Times New Roman" w:hAnsi="Times New Roman" w:cs="Times New Roman"/>
          <w:sz w:val="24"/>
          <w:szCs w:val="24"/>
        </w:rPr>
        <w:t>késő</w:t>
      </w:r>
      <w:r w:rsidRPr="00C46594">
        <w:rPr>
          <w:rFonts w:ascii="Times New Roman" w:hAnsi="Times New Roman" w:cs="Times New Roman"/>
          <w:sz w:val="24"/>
          <w:szCs w:val="24"/>
        </w:rPr>
        <w:t>bb pedig már a közösségi vállalkozók (közösségi vállalkozó az, aki az EUn vagy az EGT-n belül, de nem az állampolgársága szerinti országban folytat vállalkozói tevékenységet) és családtagjaik is beletartoztak</w:t>
      </w:r>
      <w:r w:rsidR="003D1CA8">
        <w:rPr>
          <w:rFonts w:ascii="Times New Roman" w:hAnsi="Times New Roman" w:cs="Times New Roman"/>
          <w:sz w:val="24"/>
          <w:szCs w:val="24"/>
        </w:rPr>
        <w:t xml:space="preserve"> </w:t>
      </w:r>
      <w:r w:rsidRPr="00C46594">
        <w:rPr>
          <w:rFonts w:ascii="Times New Roman" w:hAnsi="Times New Roman" w:cs="Times New Roman"/>
          <w:sz w:val="24"/>
          <w:szCs w:val="24"/>
        </w:rPr>
        <w:t>a „személyek” fogalomba, amelyhez számtalan utazási és ott-tartózkodási privilégi</w:t>
      </w:r>
      <w:r w:rsidR="003D1CA8">
        <w:rPr>
          <w:rFonts w:ascii="Times New Roman" w:hAnsi="Times New Roman" w:cs="Times New Roman"/>
          <w:sz w:val="24"/>
          <w:szCs w:val="24"/>
        </w:rPr>
        <w:t>um kapcsolódott. Viszonylag későn ugyan, a 90-es évektől kezdődő</w:t>
      </w:r>
      <w:r w:rsidRPr="00C46594">
        <w:rPr>
          <w:rFonts w:ascii="Times New Roman" w:hAnsi="Times New Roman" w:cs="Times New Roman"/>
          <w:sz w:val="24"/>
          <w:szCs w:val="24"/>
        </w:rPr>
        <w:t>en már a diákok</w:t>
      </w:r>
      <w:r w:rsidR="003D1CA8">
        <w:rPr>
          <w:rFonts w:ascii="Times New Roman" w:hAnsi="Times New Roman" w:cs="Times New Roman"/>
          <w:sz w:val="24"/>
          <w:szCs w:val="24"/>
        </w:rPr>
        <w:t>, a nyugdíjasok, a magukat önerőbő</w:t>
      </w:r>
      <w:r w:rsidRPr="00C46594">
        <w:rPr>
          <w:rFonts w:ascii="Times New Roman" w:hAnsi="Times New Roman" w:cs="Times New Roman"/>
          <w:sz w:val="24"/>
          <w:szCs w:val="24"/>
        </w:rPr>
        <w:t>l eltartók és családtagjaik is bekerültek a „szabadon mozgó személy” kategóriába. Jelenleg</w:t>
      </w:r>
      <w:r w:rsidR="003D1CA8">
        <w:rPr>
          <w:rFonts w:ascii="Times New Roman" w:hAnsi="Times New Roman" w:cs="Times New Roman"/>
          <w:sz w:val="24"/>
          <w:szCs w:val="24"/>
        </w:rPr>
        <w:t xml:space="preserve"> </w:t>
      </w:r>
      <w:r w:rsidRPr="00C46594">
        <w:rPr>
          <w:rFonts w:ascii="Times New Roman" w:hAnsi="Times New Roman" w:cs="Times New Roman"/>
          <w:sz w:val="24"/>
          <w:szCs w:val="24"/>
        </w:rPr>
        <w:t>tehát az ezekbe a csoportokba tartozók tekint</w:t>
      </w:r>
      <w:r w:rsidR="003D1CA8">
        <w:rPr>
          <w:rFonts w:ascii="Times New Roman" w:hAnsi="Times New Roman" w:cs="Times New Roman"/>
          <w:sz w:val="24"/>
          <w:szCs w:val="24"/>
        </w:rPr>
        <w:t>hető</w:t>
      </w:r>
      <w:r w:rsidRPr="00C46594">
        <w:rPr>
          <w:rFonts w:ascii="Times New Roman" w:hAnsi="Times New Roman" w:cs="Times New Roman"/>
          <w:sz w:val="24"/>
          <w:szCs w:val="24"/>
        </w:rPr>
        <w:t>k az EU terminológiája szerint „személyeknek”.</w:t>
      </w:r>
      <w:r w:rsidR="003D1CA8">
        <w:rPr>
          <w:rFonts w:ascii="Times New Roman" w:hAnsi="Times New Roman" w:cs="Times New Roman"/>
          <w:sz w:val="24"/>
          <w:szCs w:val="24"/>
        </w:rPr>
        <w:t xml:space="preserve"> </w:t>
      </w:r>
      <w:r w:rsidRPr="00C46594">
        <w:rPr>
          <w:rFonts w:ascii="Times New Roman" w:hAnsi="Times New Roman" w:cs="Times New Roman"/>
          <w:sz w:val="24"/>
          <w:szCs w:val="24"/>
        </w:rPr>
        <w:t>Ez valójában annyit jelent, hogy aki munkavállaló vagy vállalkozó akar lenni egy másik EU-tagállamban, illetve diákként egy másik tagállamban akar tanulni, továbbá aki sosem dolgozott, de van pénze áttelepülni (az ilyen személyt nevezz</w:t>
      </w:r>
      <w:r w:rsidR="003D1CA8">
        <w:rPr>
          <w:rFonts w:ascii="Times New Roman" w:hAnsi="Times New Roman" w:cs="Times New Roman"/>
          <w:sz w:val="24"/>
          <w:szCs w:val="24"/>
        </w:rPr>
        <w:t>ük magát saját anyagi eszközeibő</w:t>
      </w:r>
      <w:r w:rsidRPr="00C46594">
        <w:rPr>
          <w:rFonts w:ascii="Times New Roman" w:hAnsi="Times New Roman" w:cs="Times New Roman"/>
          <w:sz w:val="24"/>
          <w:szCs w:val="24"/>
        </w:rPr>
        <w:t>l eltartónak), vagy nyugdíjas éveit szeretné egy másik tagállamban eltölteni, ezt megteheti. Ha jobban belegondolunk,</w:t>
      </w:r>
      <w:r w:rsidR="003D1CA8">
        <w:rPr>
          <w:rFonts w:ascii="Times New Roman" w:hAnsi="Times New Roman" w:cs="Times New Roman"/>
          <w:sz w:val="24"/>
          <w:szCs w:val="24"/>
        </w:rPr>
        <w:t xml:space="preserve"> a különböző</w:t>
      </w:r>
      <w:r w:rsidRPr="00C46594">
        <w:rPr>
          <w:rFonts w:ascii="Times New Roman" w:hAnsi="Times New Roman" w:cs="Times New Roman"/>
          <w:sz w:val="24"/>
          <w:szCs w:val="24"/>
        </w:rPr>
        <w:t xml:space="preserve"> említett csoportok gyakorlatilag megfelelnek annak a célkitűzésnek, hogy „minden személy szabadon mozoghat”, hiszen kizáróla</w:t>
      </w:r>
      <w:r w:rsidR="003D1CA8">
        <w:rPr>
          <w:rFonts w:ascii="Times New Roman" w:hAnsi="Times New Roman" w:cs="Times New Roman"/>
          <w:sz w:val="24"/>
          <w:szCs w:val="24"/>
        </w:rPr>
        <w:t>g a rossz anyagi helyzetben lévő</w:t>
      </w:r>
      <w:r w:rsidRPr="00C46594">
        <w:rPr>
          <w:rFonts w:ascii="Times New Roman" w:hAnsi="Times New Roman" w:cs="Times New Roman"/>
          <w:sz w:val="24"/>
          <w:szCs w:val="24"/>
        </w:rPr>
        <w:t>, az elköltözés anyagi áldozatait vállalni nem tudó személyek nem gy</w:t>
      </w:r>
      <w:r w:rsidR="003D1CA8">
        <w:rPr>
          <w:rFonts w:ascii="Times New Roman" w:hAnsi="Times New Roman" w:cs="Times New Roman"/>
          <w:sz w:val="24"/>
          <w:szCs w:val="24"/>
        </w:rPr>
        <w:t>akorolhatják az egyébként létező</w:t>
      </w:r>
      <w:r w:rsidRPr="00C46594">
        <w:rPr>
          <w:rFonts w:ascii="Times New Roman" w:hAnsi="Times New Roman" w:cs="Times New Roman"/>
          <w:sz w:val="24"/>
          <w:szCs w:val="24"/>
        </w:rPr>
        <w:t xml:space="preserve"> jogukat a „szabad mozgásra”. Nyugodtan mondhatjuk azonban, hogy a „szabad mozgás” univerzális jog, ami egy</w:t>
      </w:r>
      <w:r w:rsidR="003D1CA8">
        <w:rPr>
          <w:rFonts w:ascii="Times New Roman" w:hAnsi="Times New Roman" w:cs="Times New Roman"/>
          <w:sz w:val="24"/>
          <w:szCs w:val="24"/>
        </w:rPr>
        <w:t xml:space="preserve"> feltételtől függ: a jog első</w:t>
      </w:r>
      <w:r w:rsidRPr="00C46594">
        <w:rPr>
          <w:rFonts w:ascii="Times New Roman" w:hAnsi="Times New Roman" w:cs="Times New Roman"/>
          <w:sz w:val="24"/>
          <w:szCs w:val="24"/>
        </w:rPr>
        <w:t>dleges gyakorlójának uniós polgárnak kell lennie (a vele tartó családtagnak nem kell EU-polgárnak lennie).</w:t>
      </w:r>
      <w:r w:rsidR="006D4AC0">
        <w:rPr>
          <w:rStyle w:val="Lbjegyzet-hivatkozs"/>
          <w:rFonts w:ascii="Times New Roman" w:hAnsi="Times New Roman" w:cs="Times New Roman"/>
          <w:sz w:val="24"/>
          <w:szCs w:val="24"/>
        </w:rPr>
        <w:footnoteReference w:id="9"/>
      </w:r>
    </w:p>
    <w:p w:rsidR="003D1CA8" w:rsidRPr="00C46594" w:rsidRDefault="003D1CA8" w:rsidP="00C46594">
      <w:pPr>
        <w:autoSpaceDE w:val="0"/>
        <w:autoSpaceDN w:val="0"/>
        <w:adjustRightInd w:val="0"/>
        <w:spacing w:after="0" w:line="360" w:lineRule="auto"/>
        <w:rPr>
          <w:rFonts w:ascii="Times New Roman" w:hAnsi="Times New Roman" w:cs="Times New Roman"/>
          <w:sz w:val="24"/>
          <w:szCs w:val="24"/>
        </w:rPr>
      </w:pPr>
    </w:p>
    <w:p w:rsidR="00C46594" w:rsidRPr="00F40D5B" w:rsidRDefault="00C46594" w:rsidP="00F40D5B">
      <w:pPr>
        <w:pStyle w:val="Listaszerbekezds"/>
        <w:numPr>
          <w:ilvl w:val="0"/>
          <w:numId w:val="4"/>
        </w:numPr>
        <w:autoSpaceDE w:val="0"/>
        <w:autoSpaceDN w:val="0"/>
        <w:adjustRightInd w:val="0"/>
        <w:spacing w:after="0" w:line="240" w:lineRule="auto"/>
        <w:rPr>
          <w:rFonts w:ascii="Times New Roman" w:hAnsi="Times New Roman" w:cs="Times New Roman"/>
          <w:b/>
          <w:bCs/>
          <w:iCs/>
          <w:sz w:val="24"/>
          <w:szCs w:val="24"/>
        </w:rPr>
      </w:pPr>
      <w:r w:rsidRPr="00F40D5B">
        <w:rPr>
          <w:rFonts w:ascii="Times New Roman" w:hAnsi="Times New Roman" w:cs="Times New Roman"/>
          <w:b/>
          <w:bCs/>
          <w:iCs/>
          <w:sz w:val="24"/>
          <w:szCs w:val="24"/>
        </w:rPr>
        <w:t>Mit jelent az, hogy a személyek „szabadon</w:t>
      </w:r>
      <w:r w:rsidR="00F00172" w:rsidRPr="00F40D5B">
        <w:rPr>
          <w:rFonts w:ascii="Times New Roman" w:hAnsi="Times New Roman" w:cs="Times New Roman"/>
          <w:b/>
          <w:bCs/>
          <w:iCs/>
          <w:sz w:val="24"/>
          <w:szCs w:val="24"/>
        </w:rPr>
        <w:t xml:space="preserve"> </w:t>
      </w:r>
      <w:r w:rsidRPr="00F40D5B">
        <w:rPr>
          <w:rFonts w:ascii="Times New Roman" w:hAnsi="Times New Roman" w:cs="Times New Roman"/>
          <w:b/>
          <w:bCs/>
          <w:iCs/>
          <w:sz w:val="24"/>
          <w:szCs w:val="24"/>
        </w:rPr>
        <w:t>mozoghatnak”?</w:t>
      </w:r>
    </w:p>
    <w:p w:rsidR="00F00172" w:rsidRPr="00606E52" w:rsidRDefault="00F00172" w:rsidP="00606E52">
      <w:pPr>
        <w:autoSpaceDE w:val="0"/>
        <w:autoSpaceDN w:val="0"/>
        <w:adjustRightInd w:val="0"/>
        <w:spacing w:after="0" w:line="360" w:lineRule="auto"/>
        <w:jc w:val="center"/>
        <w:rPr>
          <w:rFonts w:ascii="Times New Roman" w:hAnsi="Times New Roman" w:cs="Times New Roman"/>
          <w:bCs/>
          <w:iCs/>
          <w:sz w:val="24"/>
          <w:szCs w:val="24"/>
        </w:rPr>
      </w:pPr>
    </w:p>
    <w:p w:rsidR="00C46594" w:rsidRPr="00606E52" w:rsidRDefault="00C46594" w:rsidP="00606E52">
      <w:pPr>
        <w:autoSpaceDE w:val="0"/>
        <w:autoSpaceDN w:val="0"/>
        <w:adjustRightInd w:val="0"/>
        <w:spacing w:after="0" w:line="360" w:lineRule="auto"/>
        <w:rPr>
          <w:rFonts w:ascii="Times New Roman" w:hAnsi="Times New Roman" w:cs="Times New Roman"/>
          <w:sz w:val="24"/>
          <w:szCs w:val="24"/>
        </w:rPr>
      </w:pPr>
      <w:r w:rsidRPr="00606E52">
        <w:rPr>
          <w:rFonts w:ascii="Times New Roman" w:hAnsi="Times New Roman" w:cs="Times New Roman"/>
          <w:b/>
          <w:bCs/>
          <w:sz w:val="24"/>
          <w:szCs w:val="24"/>
        </w:rPr>
        <w:t xml:space="preserve">1. </w:t>
      </w:r>
      <w:r w:rsidRPr="00606E52">
        <w:rPr>
          <w:rFonts w:ascii="Times New Roman" w:hAnsi="Times New Roman" w:cs="Times New Roman"/>
          <w:sz w:val="24"/>
          <w:szCs w:val="24"/>
        </w:rPr>
        <w:t>A szabad mozgás jogosultságának egyik</w:t>
      </w:r>
      <w:r w:rsidR="00F00172" w:rsidRPr="00606E52">
        <w:rPr>
          <w:rFonts w:ascii="Times New Roman" w:hAnsi="Times New Roman" w:cs="Times New Roman"/>
          <w:sz w:val="24"/>
          <w:szCs w:val="24"/>
        </w:rPr>
        <w:t xml:space="preserve"> </w:t>
      </w:r>
      <w:r w:rsidRPr="00606E52">
        <w:rPr>
          <w:rFonts w:ascii="Times New Roman" w:hAnsi="Times New Roman" w:cs="Times New Roman"/>
          <w:sz w:val="24"/>
          <w:szCs w:val="24"/>
        </w:rPr>
        <w:t>eleme minden kategória számára egyformán</w:t>
      </w:r>
      <w:r w:rsidR="00F00172" w:rsidRPr="00606E52">
        <w:rPr>
          <w:rFonts w:ascii="Times New Roman" w:hAnsi="Times New Roman" w:cs="Times New Roman"/>
          <w:sz w:val="24"/>
          <w:szCs w:val="24"/>
        </w:rPr>
        <w:t xml:space="preserve"> </w:t>
      </w:r>
      <w:r w:rsidRPr="00606E52">
        <w:rPr>
          <w:rFonts w:ascii="Times New Roman" w:hAnsi="Times New Roman" w:cs="Times New Roman"/>
          <w:sz w:val="24"/>
          <w:szCs w:val="24"/>
        </w:rPr>
        <w:t>megvalósult, ez a formalitások nélküli</w:t>
      </w:r>
      <w:r w:rsidR="00F00172" w:rsidRPr="00606E52">
        <w:rPr>
          <w:rFonts w:ascii="Times New Roman" w:hAnsi="Times New Roman" w:cs="Times New Roman"/>
          <w:sz w:val="24"/>
          <w:szCs w:val="24"/>
        </w:rPr>
        <w:t xml:space="preserve"> </w:t>
      </w:r>
      <w:r w:rsidRPr="00606E52">
        <w:rPr>
          <w:rFonts w:ascii="Times New Roman" w:hAnsi="Times New Roman" w:cs="Times New Roman"/>
          <w:sz w:val="24"/>
          <w:szCs w:val="24"/>
        </w:rPr>
        <w:t>határátlépés. Mára már mindenki (EU</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polgár</w:t>
      </w:r>
      <w:r w:rsidR="00F00172" w:rsidRPr="00606E52">
        <w:rPr>
          <w:rFonts w:ascii="Times New Roman" w:hAnsi="Times New Roman" w:cs="Times New Roman"/>
          <w:sz w:val="24"/>
          <w:szCs w:val="24"/>
        </w:rPr>
        <w:t xml:space="preserve"> és nem EU-polgár, aki </w:t>
      </w:r>
      <w:r w:rsidRPr="00606E52">
        <w:rPr>
          <w:rFonts w:ascii="Times New Roman" w:hAnsi="Times New Roman" w:cs="Times New Roman"/>
          <w:sz w:val="24"/>
          <w:szCs w:val="24"/>
        </w:rPr>
        <w:t>jogszerűen</w:t>
      </w:r>
      <w:r w:rsidR="00F00172" w:rsidRPr="00606E52">
        <w:rPr>
          <w:rFonts w:ascii="Times New Roman" w:hAnsi="Times New Roman" w:cs="Times New Roman"/>
          <w:sz w:val="24"/>
          <w:szCs w:val="24"/>
        </w:rPr>
        <w:t xml:space="preserve"> </w:t>
      </w:r>
      <w:r w:rsidR="003D1CA8">
        <w:rPr>
          <w:rFonts w:ascii="Times New Roman" w:hAnsi="Times New Roman" w:cs="Times New Roman"/>
          <w:sz w:val="24"/>
          <w:szCs w:val="24"/>
        </w:rPr>
        <w:t>átlépte az EU külső</w:t>
      </w:r>
      <w:r w:rsidRPr="00606E52">
        <w:rPr>
          <w:rFonts w:ascii="Times New Roman" w:hAnsi="Times New Roman" w:cs="Times New Roman"/>
          <w:sz w:val="24"/>
          <w:szCs w:val="24"/>
        </w:rPr>
        <w:t xml:space="preserve"> határát) szabadon mozoghat</w:t>
      </w:r>
      <w:r w:rsidR="00F00172" w:rsidRPr="00606E52">
        <w:rPr>
          <w:rFonts w:ascii="Times New Roman" w:hAnsi="Times New Roman" w:cs="Times New Roman"/>
          <w:sz w:val="24"/>
          <w:szCs w:val="24"/>
        </w:rPr>
        <w:t xml:space="preserve"> </w:t>
      </w:r>
      <w:r w:rsidRPr="00606E52">
        <w:rPr>
          <w:rFonts w:ascii="Times New Roman" w:hAnsi="Times New Roman" w:cs="Times New Roman"/>
          <w:sz w:val="24"/>
          <w:szCs w:val="24"/>
        </w:rPr>
        <w:t>a megyehatárként felfogható tagállami</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határokon</w:t>
      </w:r>
      <w:r w:rsidR="006D4AC0">
        <w:rPr>
          <w:rFonts w:ascii="Times New Roman" w:hAnsi="Times New Roman" w:cs="Times New Roman"/>
          <w:sz w:val="24"/>
          <w:szCs w:val="24"/>
        </w:rPr>
        <w:t xml:space="preserve">, mert a </w:t>
      </w:r>
      <w:r w:rsidRPr="00606E52">
        <w:rPr>
          <w:rFonts w:ascii="Times New Roman" w:hAnsi="Times New Roman" w:cs="Times New Roman"/>
          <w:sz w:val="24"/>
          <w:szCs w:val="24"/>
        </w:rPr>
        <w:t>Schen</w:t>
      </w:r>
      <w:r w:rsidR="00F00172" w:rsidRPr="00606E52">
        <w:rPr>
          <w:rFonts w:ascii="Times New Roman" w:hAnsi="Times New Roman" w:cs="Times New Roman"/>
          <w:sz w:val="24"/>
          <w:szCs w:val="24"/>
        </w:rPr>
        <w:t xml:space="preserve">geni Egyezmény biztosítja az EU </w:t>
      </w:r>
      <w:r w:rsidR="003D1CA8">
        <w:rPr>
          <w:rFonts w:ascii="Times New Roman" w:hAnsi="Times New Roman" w:cs="Times New Roman"/>
          <w:sz w:val="24"/>
          <w:szCs w:val="24"/>
        </w:rPr>
        <w:t>belső</w:t>
      </w:r>
      <w:r w:rsidRPr="00606E52">
        <w:rPr>
          <w:rFonts w:ascii="Times New Roman" w:hAnsi="Times New Roman" w:cs="Times New Roman"/>
          <w:sz w:val="24"/>
          <w:szCs w:val="24"/>
        </w:rPr>
        <w:t xml:space="preserve"> határaina</w:t>
      </w:r>
      <w:r w:rsidR="003D1CA8">
        <w:rPr>
          <w:rFonts w:ascii="Times New Roman" w:hAnsi="Times New Roman" w:cs="Times New Roman"/>
          <w:sz w:val="24"/>
          <w:szCs w:val="24"/>
        </w:rPr>
        <w:t>k ellenő</w:t>
      </w:r>
      <w:r w:rsidR="00F00172" w:rsidRPr="00606E52">
        <w:rPr>
          <w:rFonts w:ascii="Times New Roman" w:hAnsi="Times New Roman" w:cs="Times New Roman"/>
          <w:sz w:val="24"/>
          <w:szCs w:val="24"/>
        </w:rPr>
        <w:t xml:space="preserve">rzés nélküli átlépését. </w:t>
      </w:r>
      <w:r w:rsidRPr="00606E52">
        <w:rPr>
          <w:rFonts w:ascii="Times New Roman" w:hAnsi="Times New Roman" w:cs="Times New Roman"/>
          <w:sz w:val="24"/>
          <w:szCs w:val="24"/>
        </w:rPr>
        <w:t>(Fonto</w:t>
      </w:r>
      <w:r w:rsidR="00F00172" w:rsidRPr="00606E52">
        <w:rPr>
          <w:rFonts w:ascii="Times New Roman" w:hAnsi="Times New Roman" w:cs="Times New Roman"/>
          <w:sz w:val="24"/>
          <w:szCs w:val="24"/>
        </w:rPr>
        <w:t xml:space="preserve">s azonban hangsúlyozni, hogy az </w:t>
      </w:r>
      <w:r w:rsidRPr="00606E52">
        <w:rPr>
          <w:rFonts w:ascii="Times New Roman" w:hAnsi="Times New Roman" w:cs="Times New Roman"/>
          <w:sz w:val="24"/>
          <w:szCs w:val="24"/>
        </w:rPr>
        <w:t>uniós p</w:t>
      </w:r>
      <w:r w:rsidR="00F00172" w:rsidRPr="00606E52">
        <w:rPr>
          <w:rFonts w:ascii="Times New Roman" w:hAnsi="Times New Roman" w:cs="Times New Roman"/>
          <w:sz w:val="24"/>
          <w:szCs w:val="24"/>
        </w:rPr>
        <w:t xml:space="preserve">olgárok és a harmadik állambeli </w:t>
      </w:r>
      <w:r w:rsidRPr="00606E52">
        <w:rPr>
          <w:rFonts w:ascii="Times New Roman" w:hAnsi="Times New Roman" w:cs="Times New Roman"/>
          <w:sz w:val="24"/>
          <w:szCs w:val="24"/>
        </w:rPr>
        <w:t>polgárok megk</w:t>
      </w:r>
      <w:r w:rsidR="00F00172" w:rsidRPr="00606E52">
        <w:rPr>
          <w:rFonts w:ascii="Times New Roman" w:hAnsi="Times New Roman" w:cs="Times New Roman"/>
          <w:sz w:val="24"/>
          <w:szCs w:val="24"/>
        </w:rPr>
        <w:t xml:space="preserve">ülönböztetett kezelése jelenleg </w:t>
      </w:r>
      <w:r w:rsidRPr="00606E52">
        <w:rPr>
          <w:rFonts w:ascii="Times New Roman" w:hAnsi="Times New Roman" w:cs="Times New Roman"/>
          <w:sz w:val="24"/>
          <w:szCs w:val="24"/>
        </w:rPr>
        <w:t>is fennáll. Egy tagállami állampolgárt a</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 xml:space="preserve">határon </w:t>
      </w:r>
      <w:r w:rsidR="00F00172" w:rsidRPr="00606E52">
        <w:rPr>
          <w:rFonts w:ascii="Times New Roman" w:hAnsi="Times New Roman" w:cs="Times New Roman"/>
          <w:sz w:val="24"/>
          <w:szCs w:val="24"/>
        </w:rPr>
        <w:t xml:space="preserve">nem zaklathat egyetlen hivatali </w:t>
      </w:r>
      <w:r w:rsidRPr="00606E52">
        <w:rPr>
          <w:rFonts w:ascii="Times New Roman" w:hAnsi="Times New Roman" w:cs="Times New Roman"/>
          <w:sz w:val="24"/>
          <w:szCs w:val="24"/>
        </w:rPr>
        <w:t>személy sem azzal,</w:t>
      </w:r>
      <w:r w:rsidR="003D1CA8">
        <w:rPr>
          <w:rFonts w:ascii="Times New Roman" w:hAnsi="Times New Roman" w:cs="Times New Roman"/>
          <w:sz w:val="24"/>
          <w:szCs w:val="24"/>
        </w:rPr>
        <w:t xml:space="preserve"> hogy </w:t>
      </w:r>
      <w:r w:rsidR="003D1CA8">
        <w:rPr>
          <w:rFonts w:ascii="Times New Roman" w:hAnsi="Times New Roman" w:cs="Times New Roman"/>
          <w:sz w:val="24"/>
          <w:szCs w:val="24"/>
        </w:rPr>
        <w:lastRenderedPageBreak/>
        <w:t>utazása célja, idő</w:t>
      </w:r>
      <w:r w:rsidR="00F00172" w:rsidRPr="00606E52">
        <w:rPr>
          <w:rFonts w:ascii="Times New Roman" w:hAnsi="Times New Roman" w:cs="Times New Roman"/>
          <w:sz w:val="24"/>
          <w:szCs w:val="24"/>
        </w:rPr>
        <w:t xml:space="preserve">tartama </w:t>
      </w:r>
      <w:r w:rsidRPr="00606E52">
        <w:rPr>
          <w:rFonts w:ascii="Times New Roman" w:hAnsi="Times New Roman" w:cs="Times New Roman"/>
          <w:sz w:val="24"/>
          <w:szCs w:val="24"/>
        </w:rPr>
        <w:t>vagy an</w:t>
      </w:r>
      <w:r w:rsidR="003D1CA8">
        <w:rPr>
          <w:rFonts w:ascii="Times New Roman" w:hAnsi="Times New Roman" w:cs="Times New Roman"/>
          <w:sz w:val="24"/>
          <w:szCs w:val="24"/>
        </w:rPr>
        <w:t>yagi fedezete iránt érdeklő</w:t>
      </w:r>
      <w:r w:rsidR="00F00172" w:rsidRPr="00606E52">
        <w:rPr>
          <w:rFonts w:ascii="Times New Roman" w:hAnsi="Times New Roman" w:cs="Times New Roman"/>
          <w:sz w:val="24"/>
          <w:szCs w:val="24"/>
        </w:rPr>
        <w:t xml:space="preserve">dik. </w:t>
      </w:r>
      <w:r w:rsidRPr="00606E52">
        <w:rPr>
          <w:rFonts w:ascii="Times New Roman" w:hAnsi="Times New Roman" w:cs="Times New Roman"/>
          <w:sz w:val="24"/>
          <w:szCs w:val="24"/>
        </w:rPr>
        <w:t>E</w:t>
      </w:r>
      <w:r w:rsidR="00F00172" w:rsidRPr="00606E52">
        <w:rPr>
          <w:rFonts w:ascii="Times New Roman" w:hAnsi="Times New Roman" w:cs="Times New Roman"/>
          <w:sz w:val="24"/>
          <w:szCs w:val="24"/>
        </w:rPr>
        <w:t xml:space="preserve">gy harmadik állam állampolgárát </w:t>
      </w:r>
      <w:r w:rsidRPr="00606E52">
        <w:rPr>
          <w:rFonts w:ascii="Times New Roman" w:hAnsi="Times New Roman" w:cs="Times New Roman"/>
          <w:sz w:val="24"/>
          <w:szCs w:val="24"/>
        </w:rPr>
        <w:t xml:space="preserve">kikérdezheti, </w:t>
      </w:r>
      <w:r w:rsidR="00F00172" w:rsidRPr="00606E52">
        <w:rPr>
          <w:rFonts w:ascii="Times New Roman" w:hAnsi="Times New Roman" w:cs="Times New Roman"/>
          <w:sz w:val="24"/>
          <w:szCs w:val="24"/>
        </w:rPr>
        <w:t xml:space="preserve">és természetesen lefolytathatja </w:t>
      </w:r>
      <w:r w:rsidRPr="00606E52">
        <w:rPr>
          <w:rFonts w:ascii="Times New Roman" w:hAnsi="Times New Roman" w:cs="Times New Roman"/>
          <w:sz w:val="24"/>
          <w:szCs w:val="24"/>
        </w:rPr>
        <w:t>a vám- és esetleg</w:t>
      </w:r>
      <w:r w:rsidR="003D1CA8">
        <w:rPr>
          <w:rFonts w:ascii="Times New Roman" w:hAnsi="Times New Roman" w:cs="Times New Roman"/>
          <w:sz w:val="24"/>
          <w:szCs w:val="24"/>
        </w:rPr>
        <w:t>es egyéb ellenő</w:t>
      </w:r>
      <w:r w:rsidR="00F00172" w:rsidRPr="00606E52">
        <w:rPr>
          <w:rFonts w:ascii="Times New Roman" w:hAnsi="Times New Roman" w:cs="Times New Roman"/>
          <w:sz w:val="24"/>
          <w:szCs w:val="24"/>
        </w:rPr>
        <w:t xml:space="preserve">rzéseket </w:t>
      </w:r>
      <w:r w:rsidRPr="00606E52">
        <w:rPr>
          <w:rFonts w:ascii="Times New Roman" w:hAnsi="Times New Roman" w:cs="Times New Roman"/>
          <w:sz w:val="24"/>
          <w:szCs w:val="24"/>
        </w:rPr>
        <w:t xml:space="preserve">is.) Nincs tehát </w:t>
      </w:r>
      <w:r w:rsidR="00F00172" w:rsidRPr="00606E52">
        <w:rPr>
          <w:rFonts w:ascii="Times New Roman" w:hAnsi="Times New Roman" w:cs="Times New Roman"/>
          <w:sz w:val="24"/>
          <w:szCs w:val="24"/>
        </w:rPr>
        <w:t xml:space="preserve">vízumkényszer, nincs várakozási </w:t>
      </w:r>
      <w:r w:rsidR="003D1CA8">
        <w:rPr>
          <w:rFonts w:ascii="Times New Roman" w:hAnsi="Times New Roman" w:cs="Times New Roman"/>
          <w:sz w:val="24"/>
          <w:szCs w:val="24"/>
        </w:rPr>
        <w:t>idő</w:t>
      </w:r>
      <w:r w:rsidRPr="00606E52">
        <w:rPr>
          <w:rFonts w:ascii="Times New Roman" w:hAnsi="Times New Roman" w:cs="Times New Roman"/>
          <w:sz w:val="24"/>
          <w:szCs w:val="24"/>
        </w:rPr>
        <w:t>. A</w:t>
      </w:r>
      <w:r w:rsidR="00F00172" w:rsidRPr="00606E52">
        <w:rPr>
          <w:rFonts w:ascii="Times New Roman" w:hAnsi="Times New Roman" w:cs="Times New Roman"/>
          <w:sz w:val="24"/>
          <w:szCs w:val="24"/>
        </w:rPr>
        <w:t xml:space="preserve"> tagállamok azonban fenntartják </w:t>
      </w:r>
      <w:r w:rsidR="003D1CA8">
        <w:rPr>
          <w:rFonts w:ascii="Times New Roman" w:hAnsi="Times New Roman" w:cs="Times New Roman"/>
          <w:sz w:val="24"/>
          <w:szCs w:val="24"/>
        </w:rPr>
        <w:t>az ellenő</w:t>
      </w:r>
      <w:r w:rsidRPr="00606E52">
        <w:rPr>
          <w:rFonts w:ascii="Times New Roman" w:hAnsi="Times New Roman" w:cs="Times New Roman"/>
          <w:sz w:val="24"/>
          <w:szCs w:val="24"/>
        </w:rPr>
        <w:t>rzést azokon a határokon, amelyek</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 xml:space="preserve">az </w:t>
      </w:r>
      <w:r w:rsidR="00F00172" w:rsidRPr="00606E52">
        <w:rPr>
          <w:rFonts w:ascii="Times New Roman" w:hAnsi="Times New Roman" w:cs="Times New Roman"/>
          <w:sz w:val="24"/>
          <w:szCs w:val="24"/>
        </w:rPr>
        <w:t xml:space="preserve">utazóközönség számára általában </w:t>
      </w:r>
      <w:r w:rsidR="003D1CA8">
        <w:rPr>
          <w:rFonts w:ascii="Times New Roman" w:hAnsi="Times New Roman" w:cs="Times New Roman"/>
          <w:sz w:val="24"/>
          <w:szCs w:val="24"/>
        </w:rPr>
        <w:t>elérhető</w:t>
      </w:r>
      <w:r w:rsidRPr="00606E52">
        <w:rPr>
          <w:rFonts w:ascii="Times New Roman" w:hAnsi="Times New Roman" w:cs="Times New Roman"/>
          <w:sz w:val="24"/>
          <w:szCs w:val="24"/>
        </w:rPr>
        <w:t>k,</w:t>
      </w:r>
      <w:r w:rsidR="003D1CA8">
        <w:rPr>
          <w:rFonts w:ascii="Times New Roman" w:hAnsi="Times New Roman" w:cs="Times New Roman"/>
          <w:sz w:val="24"/>
          <w:szCs w:val="24"/>
        </w:rPr>
        <w:t xml:space="preserve"> így pl. a repülő</w:t>
      </w:r>
      <w:r w:rsidR="00F00172" w:rsidRPr="00606E52">
        <w:rPr>
          <w:rFonts w:ascii="Times New Roman" w:hAnsi="Times New Roman" w:cs="Times New Roman"/>
          <w:sz w:val="24"/>
          <w:szCs w:val="24"/>
        </w:rPr>
        <w:t xml:space="preserve">tereken, határ </w:t>
      </w:r>
      <w:r w:rsidR="003D1CA8">
        <w:rPr>
          <w:rFonts w:ascii="Times New Roman" w:hAnsi="Times New Roman" w:cs="Times New Roman"/>
          <w:sz w:val="24"/>
          <w:szCs w:val="24"/>
        </w:rPr>
        <w:t>menti kikötő</w:t>
      </w:r>
      <w:r w:rsidRPr="00606E52">
        <w:rPr>
          <w:rFonts w:ascii="Times New Roman" w:hAnsi="Times New Roman" w:cs="Times New Roman"/>
          <w:sz w:val="24"/>
          <w:szCs w:val="24"/>
        </w:rPr>
        <w:t>kben, vasútá</w:t>
      </w:r>
      <w:r w:rsidR="00F00172" w:rsidRPr="00606E52">
        <w:rPr>
          <w:rFonts w:ascii="Times New Roman" w:hAnsi="Times New Roman" w:cs="Times New Roman"/>
          <w:sz w:val="24"/>
          <w:szCs w:val="24"/>
        </w:rPr>
        <w:t xml:space="preserve">llomásokon és </w:t>
      </w:r>
      <w:r w:rsidRPr="00606E52">
        <w:rPr>
          <w:rFonts w:ascii="Times New Roman" w:hAnsi="Times New Roman" w:cs="Times New Roman"/>
          <w:sz w:val="24"/>
          <w:szCs w:val="24"/>
        </w:rPr>
        <w:t>közúti</w:t>
      </w:r>
      <w:r w:rsidR="003D1CA8">
        <w:rPr>
          <w:rFonts w:ascii="Times New Roman" w:hAnsi="Times New Roman" w:cs="Times New Roman"/>
          <w:sz w:val="24"/>
          <w:szCs w:val="24"/>
        </w:rPr>
        <w:t xml:space="preserve"> határátkelő</w:t>
      </w:r>
      <w:r w:rsidR="00F00172" w:rsidRPr="00606E52">
        <w:rPr>
          <w:rFonts w:ascii="Times New Roman" w:hAnsi="Times New Roman" w:cs="Times New Roman"/>
          <w:sz w:val="24"/>
          <w:szCs w:val="24"/>
        </w:rPr>
        <w:t xml:space="preserve">helyeken. Nem ritka </w:t>
      </w:r>
      <w:r w:rsidRPr="00606E52">
        <w:rPr>
          <w:rFonts w:ascii="Times New Roman" w:hAnsi="Times New Roman" w:cs="Times New Roman"/>
          <w:sz w:val="24"/>
          <w:szCs w:val="24"/>
        </w:rPr>
        <w:t>ilyen határo</w:t>
      </w:r>
      <w:r w:rsidR="00F00172" w:rsidRPr="00606E52">
        <w:rPr>
          <w:rFonts w:ascii="Times New Roman" w:hAnsi="Times New Roman" w:cs="Times New Roman"/>
          <w:sz w:val="24"/>
          <w:szCs w:val="24"/>
        </w:rPr>
        <w:t xml:space="preserve">kon az EU-polgárok igazoltatása </w:t>
      </w:r>
      <w:r w:rsidRPr="00606E52">
        <w:rPr>
          <w:rFonts w:ascii="Times New Roman" w:hAnsi="Times New Roman" w:cs="Times New Roman"/>
          <w:sz w:val="24"/>
          <w:szCs w:val="24"/>
        </w:rPr>
        <w:t>sem, hiszen</w:t>
      </w:r>
      <w:r w:rsidR="00F00172" w:rsidRPr="00606E52">
        <w:rPr>
          <w:rFonts w:ascii="Times New Roman" w:hAnsi="Times New Roman" w:cs="Times New Roman"/>
          <w:sz w:val="24"/>
          <w:szCs w:val="24"/>
        </w:rPr>
        <w:t xml:space="preserve"> személyazonosságuk igazolására </w:t>
      </w:r>
      <w:r w:rsidR="003D1CA8">
        <w:rPr>
          <w:rFonts w:ascii="Times New Roman" w:hAnsi="Times New Roman" w:cs="Times New Roman"/>
          <w:sz w:val="24"/>
          <w:szCs w:val="24"/>
        </w:rPr>
        <w:t>az EU-polgárok is kötelezhető</w:t>
      </w:r>
      <w:r w:rsidRPr="00606E52">
        <w:rPr>
          <w:rFonts w:ascii="Times New Roman" w:hAnsi="Times New Roman" w:cs="Times New Roman"/>
          <w:sz w:val="24"/>
          <w:szCs w:val="24"/>
        </w:rPr>
        <w:t>ek –</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 xml:space="preserve">akárcsak </w:t>
      </w:r>
      <w:r w:rsidR="00F00172" w:rsidRPr="00606E52">
        <w:rPr>
          <w:rFonts w:ascii="Times New Roman" w:hAnsi="Times New Roman" w:cs="Times New Roman"/>
          <w:sz w:val="24"/>
          <w:szCs w:val="24"/>
        </w:rPr>
        <w:t xml:space="preserve">a saját állampolgárok. Ilyenkor </w:t>
      </w:r>
      <w:r w:rsidRPr="00606E52">
        <w:rPr>
          <w:rFonts w:ascii="Times New Roman" w:hAnsi="Times New Roman" w:cs="Times New Roman"/>
          <w:sz w:val="24"/>
          <w:szCs w:val="24"/>
        </w:rPr>
        <w:t>azonban elég az útlevél vagy személyi igazolvány</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b</w:t>
      </w:r>
      <w:r w:rsidR="00F00172" w:rsidRPr="00606E52">
        <w:rPr>
          <w:rFonts w:ascii="Times New Roman" w:hAnsi="Times New Roman" w:cs="Times New Roman"/>
          <w:sz w:val="24"/>
          <w:szCs w:val="24"/>
        </w:rPr>
        <w:t xml:space="preserve">emutatása. Ezek </w:t>
      </w:r>
      <w:r w:rsidR="003D1CA8">
        <w:rPr>
          <w:rFonts w:ascii="Times New Roman" w:hAnsi="Times New Roman" w:cs="Times New Roman"/>
          <w:sz w:val="24"/>
          <w:szCs w:val="24"/>
        </w:rPr>
        <w:t>az ellenő</w:t>
      </w:r>
      <w:r w:rsidR="00F00172" w:rsidRPr="00606E52">
        <w:rPr>
          <w:rFonts w:ascii="Times New Roman" w:hAnsi="Times New Roman" w:cs="Times New Roman"/>
          <w:sz w:val="24"/>
          <w:szCs w:val="24"/>
        </w:rPr>
        <w:t xml:space="preserve">rzések </w:t>
      </w:r>
      <w:r w:rsidRPr="00606E52">
        <w:rPr>
          <w:rFonts w:ascii="Times New Roman" w:hAnsi="Times New Roman" w:cs="Times New Roman"/>
          <w:sz w:val="24"/>
          <w:szCs w:val="24"/>
        </w:rPr>
        <w:t>pedig összhangba</w:t>
      </w:r>
      <w:r w:rsidR="00F00172" w:rsidRPr="00606E52">
        <w:rPr>
          <w:rFonts w:ascii="Times New Roman" w:hAnsi="Times New Roman" w:cs="Times New Roman"/>
          <w:sz w:val="24"/>
          <w:szCs w:val="24"/>
        </w:rPr>
        <w:t xml:space="preserve">n állnak az állami szuverenitás </w:t>
      </w:r>
      <w:r w:rsidRPr="00606E52">
        <w:rPr>
          <w:rFonts w:ascii="Times New Roman" w:hAnsi="Times New Roman" w:cs="Times New Roman"/>
          <w:sz w:val="24"/>
          <w:szCs w:val="24"/>
        </w:rPr>
        <w:t>közjogi</w:t>
      </w:r>
      <w:r w:rsidR="00F00172" w:rsidRPr="00606E52">
        <w:rPr>
          <w:rFonts w:ascii="Times New Roman" w:hAnsi="Times New Roman" w:cs="Times New Roman"/>
          <w:sz w:val="24"/>
          <w:szCs w:val="24"/>
        </w:rPr>
        <w:t xml:space="preserve"> alapelvével, amely biztosítja, </w:t>
      </w:r>
      <w:r w:rsidRPr="00606E52">
        <w:rPr>
          <w:rFonts w:ascii="Times New Roman" w:hAnsi="Times New Roman" w:cs="Times New Roman"/>
          <w:sz w:val="24"/>
          <w:szCs w:val="24"/>
        </w:rPr>
        <w:t>hogy az ál</w:t>
      </w:r>
      <w:r w:rsidR="003D1CA8">
        <w:rPr>
          <w:rFonts w:ascii="Times New Roman" w:hAnsi="Times New Roman" w:cs="Times New Roman"/>
          <w:sz w:val="24"/>
          <w:szCs w:val="24"/>
        </w:rPr>
        <w:t>lamok a területükön bekövetkező</w:t>
      </w:r>
      <w:r w:rsidR="00F00172" w:rsidRPr="00606E52">
        <w:rPr>
          <w:rFonts w:ascii="Times New Roman" w:hAnsi="Times New Roman" w:cs="Times New Roman"/>
          <w:sz w:val="24"/>
          <w:szCs w:val="24"/>
        </w:rPr>
        <w:t xml:space="preserve"> </w:t>
      </w:r>
      <w:r w:rsidR="003D1CA8">
        <w:rPr>
          <w:rFonts w:ascii="Times New Roman" w:hAnsi="Times New Roman" w:cs="Times New Roman"/>
          <w:sz w:val="24"/>
          <w:szCs w:val="24"/>
        </w:rPr>
        <w:t>migrációs változásokat ellenő</w:t>
      </w:r>
      <w:r w:rsidRPr="00606E52">
        <w:rPr>
          <w:rFonts w:ascii="Times New Roman" w:hAnsi="Times New Roman" w:cs="Times New Roman"/>
          <w:sz w:val="24"/>
          <w:szCs w:val="24"/>
        </w:rPr>
        <w:t>rizzék.</w:t>
      </w:r>
    </w:p>
    <w:p w:rsidR="00281375" w:rsidRDefault="00C46594" w:rsidP="00606E52">
      <w:pPr>
        <w:autoSpaceDE w:val="0"/>
        <w:autoSpaceDN w:val="0"/>
        <w:adjustRightInd w:val="0"/>
        <w:spacing w:after="0" w:line="360" w:lineRule="auto"/>
        <w:rPr>
          <w:rFonts w:ascii="Times New Roman" w:hAnsi="Times New Roman" w:cs="Times New Roman"/>
          <w:sz w:val="24"/>
          <w:szCs w:val="24"/>
        </w:rPr>
      </w:pPr>
      <w:r w:rsidRPr="00606E52">
        <w:rPr>
          <w:rFonts w:ascii="Times New Roman" w:hAnsi="Times New Roman" w:cs="Times New Roman"/>
          <w:b/>
          <w:bCs/>
          <w:sz w:val="24"/>
          <w:szCs w:val="24"/>
        </w:rPr>
        <w:t xml:space="preserve">2. </w:t>
      </w:r>
      <w:r w:rsidRPr="00606E52">
        <w:rPr>
          <w:rFonts w:ascii="Times New Roman" w:hAnsi="Times New Roman" w:cs="Times New Roman"/>
          <w:sz w:val="24"/>
          <w:szCs w:val="24"/>
        </w:rPr>
        <w:t>A „szabad mozgás” fogalmát azonban</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más aspektusból is értelmezhetjük, amely</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további kritériumként jelenik meg a határokon</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való áthaladáshoz képest: arról szól,</w:t>
      </w:r>
      <w:r w:rsidR="00606E52" w:rsidRPr="00606E52">
        <w:rPr>
          <w:rFonts w:ascii="Times New Roman" w:hAnsi="Times New Roman" w:cs="Times New Roman"/>
          <w:sz w:val="24"/>
          <w:szCs w:val="24"/>
        </w:rPr>
        <w:t xml:space="preserve"> </w:t>
      </w:r>
      <w:r w:rsidR="003D1CA8">
        <w:rPr>
          <w:rFonts w:ascii="Times New Roman" w:hAnsi="Times New Roman" w:cs="Times New Roman"/>
          <w:sz w:val="24"/>
          <w:szCs w:val="24"/>
        </w:rPr>
        <w:t>hogy a fent említett különböző</w:t>
      </w:r>
      <w:r w:rsidRPr="00606E52">
        <w:rPr>
          <w:rFonts w:ascii="Times New Roman" w:hAnsi="Times New Roman" w:cs="Times New Roman"/>
          <w:sz w:val="24"/>
          <w:szCs w:val="24"/>
        </w:rPr>
        <w:t xml:space="preserve"> csoportok (közösségi</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munkavállalók, vállalkozók, diákok,</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nyugdíjasok stb.) milyen feltételek fennállása</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eset</w:t>
      </w:r>
      <w:r w:rsidR="003D1CA8">
        <w:rPr>
          <w:rFonts w:ascii="Times New Roman" w:hAnsi="Times New Roman" w:cs="Times New Roman"/>
          <w:sz w:val="24"/>
          <w:szCs w:val="24"/>
        </w:rPr>
        <w:t>én telepedhetnek le hosszabb idő</w:t>
      </w:r>
      <w:r w:rsidRPr="00606E52">
        <w:rPr>
          <w:rFonts w:ascii="Times New Roman" w:hAnsi="Times New Roman" w:cs="Times New Roman"/>
          <w:sz w:val="24"/>
          <w:szCs w:val="24"/>
        </w:rPr>
        <w:t>re is</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egy tagállamban. Ezen a szinten már vannak</w:t>
      </w:r>
      <w:r w:rsidR="003D1CA8">
        <w:rPr>
          <w:rFonts w:ascii="Times New Roman" w:hAnsi="Times New Roman" w:cs="Times New Roman"/>
          <w:sz w:val="24"/>
          <w:szCs w:val="24"/>
        </w:rPr>
        <w:t xml:space="preserve"> különbségek a különböző</w:t>
      </w:r>
      <w:r w:rsidRPr="00606E52">
        <w:rPr>
          <w:rFonts w:ascii="Times New Roman" w:hAnsi="Times New Roman" w:cs="Times New Roman"/>
          <w:sz w:val="24"/>
          <w:szCs w:val="24"/>
        </w:rPr>
        <w:t xml:space="preserve"> kategóriákba tartozó</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személyekre vonatkozó szabályok között.</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A közös</w:t>
      </w:r>
      <w:r w:rsidR="00606E52" w:rsidRPr="00606E52">
        <w:rPr>
          <w:rFonts w:ascii="Times New Roman" w:hAnsi="Times New Roman" w:cs="Times New Roman"/>
          <w:sz w:val="24"/>
          <w:szCs w:val="24"/>
        </w:rPr>
        <w:t xml:space="preserve">ségi munkavállaló és vállalkozó </w:t>
      </w:r>
      <w:r w:rsidR="003D1CA8">
        <w:rPr>
          <w:rFonts w:ascii="Times New Roman" w:hAnsi="Times New Roman" w:cs="Times New Roman"/>
          <w:sz w:val="24"/>
          <w:szCs w:val="24"/>
        </w:rPr>
        <w:t xml:space="preserve">esetén a „szabad </w:t>
      </w:r>
      <w:r w:rsidRPr="00606E52">
        <w:rPr>
          <w:rFonts w:ascii="Times New Roman" w:hAnsi="Times New Roman" w:cs="Times New Roman"/>
          <w:sz w:val="24"/>
          <w:szCs w:val="24"/>
        </w:rPr>
        <w:t>mozgás”</w:t>
      </w:r>
      <w:r w:rsidR="00606E52" w:rsidRPr="00606E52">
        <w:rPr>
          <w:rFonts w:ascii="Times New Roman" w:hAnsi="Times New Roman" w:cs="Times New Roman"/>
          <w:sz w:val="24"/>
          <w:szCs w:val="24"/>
        </w:rPr>
        <w:t xml:space="preserve"> egyben jogot testesít </w:t>
      </w:r>
      <w:r w:rsidRPr="00606E52">
        <w:rPr>
          <w:rFonts w:ascii="Times New Roman" w:hAnsi="Times New Roman" w:cs="Times New Roman"/>
          <w:sz w:val="24"/>
          <w:szCs w:val="24"/>
        </w:rPr>
        <w:t>meg a má</w:t>
      </w:r>
      <w:r w:rsidR="00606E52" w:rsidRPr="00606E52">
        <w:rPr>
          <w:rFonts w:ascii="Times New Roman" w:hAnsi="Times New Roman" w:cs="Times New Roman"/>
          <w:sz w:val="24"/>
          <w:szCs w:val="24"/>
        </w:rPr>
        <w:t>s EU- vagy EGT-</w:t>
      </w:r>
      <w:r w:rsidR="003D1CA8">
        <w:rPr>
          <w:rFonts w:ascii="Times New Roman" w:hAnsi="Times New Roman" w:cs="Times New Roman"/>
          <w:sz w:val="24"/>
          <w:szCs w:val="24"/>
        </w:rPr>
        <w:t xml:space="preserve"> </w:t>
      </w:r>
      <w:r w:rsidR="00606E52" w:rsidRPr="00606E52">
        <w:rPr>
          <w:rFonts w:ascii="Times New Roman" w:hAnsi="Times New Roman" w:cs="Times New Roman"/>
          <w:sz w:val="24"/>
          <w:szCs w:val="24"/>
        </w:rPr>
        <w:t xml:space="preserve">tagállamban </w:t>
      </w:r>
      <w:r w:rsidRPr="00606E52">
        <w:rPr>
          <w:rFonts w:ascii="Times New Roman" w:hAnsi="Times New Roman" w:cs="Times New Roman"/>
          <w:sz w:val="24"/>
          <w:szCs w:val="24"/>
        </w:rPr>
        <w:t>való munkavégzésre, a diákok esetében jogot</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jelent a más tagál</w:t>
      </w:r>
      <w:r w:rsidR="00606E52" w:rsidRPr="00606E52">
        <w:rPr>
          <w:rFonts w:ascii="Times New Roman" w:hAnsi="Times New Roman" w:cs="Times New Roman"/>
          <w:sz w:val="24"/>
          <w:szCs w:val="24"/>
        </w:rPr>
        <w:t xml:space="preserve">lamban tanulásra, a nyugdíjasok </w:t>
      </w:r>
      <w:r w:rsidRPr="00606E52">
        <w:rPr>
          <w:rFonts w:ascii="Times New Roman" w:hAnsi="Times New Roman" w:cs="Times New Roman"/>
          <w:sz w:val="24"/>
          <w:szCs w:val="24"/>
        </w:rPr>
        <w:t>és m</w:t>
      </w:r>
      <w:r w:rsidR="003D1CA8">
        <w:rPr>
          <w:rFonts w:ascii="Times New Roman" w:hAnsi="Times New Roman" w:cs="Times New Roman"/>
          <w:sz w:val="24"/>
          <w:szCs w:val="24"/>
        </w:rPr>
        <w:t>agukat önerőbő</w:t>
      </w:r>
      <w:r w:rsidR="00606E52" w:rsidRPr="00606E52">
        <w:rPr>
          <w:rFonts w:ascii="Times New Roman" w:hAnsi="Times New Roman" w:cs="Times New Roman"/>
          <w:sz w:val="24"/>
          <w:szCs w:val="24"/>
        </w:rPr>
        <w:t xml:space="preserve">l eltartók esetén </w:t>
      </w:r>
      <w:r w:rsidRPr="00606E52">
        <w:rPr>
          <w:rFonts w:ascii="Times New Roman" w:hAnsi="Times New Roman" w:cs="Times New Roman"/>
          <w:sz w:val="24"/>
          <w:szCs w:val="24"/>
        </w:rPr>
        <w:t>pedig a „szabad mozgás”</w:t>
      </w:r>
      <w:r w:rsidR="00606E52" w:rsidRPr="00606E52">
        <w:rPr>
          <w:rFonts w:ascii="Times New Roman" w:hAnsi="Times New Roman" w:cs="Times New Roman"/>
          <w:sz w:val="24"/>
          <w:szCs w:val="24"/>
        </w:rPr>
        <w:t xml:space="preserve"> egyben jog a más </w:t>
      </w:r>
      <w:r w:rsidRPr="00606E52">
        <w:rPr>
          <w:rFonts w:ascii="Times New Roman" w:hAnsi="Times New Roman" w:cs="Times New Roman"/>
          <w:sz w:val="24"/>
          <w:szCs w:val="24"/>
        </w:rPr>
        <w:t>EU- vagy EGT-</w:t>
      </w:r>
      <w:r w:rsidR="003D1CA8">
        <w:rPr>
          <w:rFonts w:ascii="Times New Roman" w:hAnsi="Times New Roman" w:cs="Times New Roman"/>
          <w:sz w:val="24"/>
          <w:szCs w:val="24"/>
        </w:rPr>
        <w:t xml:space="preserve"> </w:t>
      </w:r>
      <w:r w:rsidR="00606E52" w:rsidRPr="00606E52">
        <w:rPr>
          <w:rFonts w:ascii="Times New Roman" w:hAnsi="Times New Roman" w:cs="Times New Roman"/>
          <w:sz w:val="24"/>
          <w:szCs w:val="24"/>
        </w:rPr>
        <w:t xml:space="preserve">tagállamban való letelepedésre. </w:t>
      </w:r>
      <w:r w:rsidRPr="00606E52">
        <w:rPr>
          <w:rFonts w:ascii="Times New Roman" w:hAnsi="Times New Roman" w:cs="Times New Roman"/>
          <w:sz w:val="24"/>
          <w:szCs w:val="24"/>
        </w:rPr>
        <w:t xml:space="preserve">Mindezek a </w:t>
      </w:r>
      <w:r w:rsidR="00606E52" w:rsidRPr="00606E52">
        <w:rPr>
          <w:rFonts w:ascii="Times New Roman" w:hAnsi="Times New Roman" w:cs="Times New Roman"/>
          <w:sz w:val="24"/>
          <w:szCs w:val="24"/>
        </w:rPr>
        <w:t xml:space="preserve">jogok a huzamos ott-tartózkodás </w:t>
      </w:r>
      <w:r w:rsidRPr="00606E52">
        <w:rPr>
          <w:rFonts w:ascii="Times New Roman" w:hAnsi="Times New Roman" w:cs="Times New Roman"/>
          <w:sz w:val="24"/>
          <w:szCs w:val="24"/>
        </w:rPr>
        <w:t>jogá</w:t>
      </w:r>
      <w:r w:rsidR="00606E52" w:rsidRPr="00606E52">
        <w:rPr>
          <w:rFonts w:ascii="Times New Roman" w:hAnsi="Times New Roman" w:cs="Times New Roman"/>
          <w:sz w:val="24"/>
          <w:szCs w:val="24"/>
        </w:rPr>
        <w:t xml:space="preserve">t is magukban foglalják. Minden </w:t>
      </w:r>
      <w:r w:rsidRPr="00606E52">
        <w:rPr>
          <w:rFonts w:ascii="Times New Roman" w:hAnsi="Times New Roman" w:cs="Times New Roman"/>
          <w:sz w:val="24"/>
          <w:szCs w:val="24"/>
        </w:rPr>
        <w:t>esetben járulékos jogként jelenik meg – a „</w:t>
      </w:r>
      <w:r w:rsidR="00606E52" w:rsidRPr="00606E52">
        <w:rPr>
          <w:rFonts w:ascii="Times New Roman" w:hAnsi="Times New Roman" w:cs="Times New Roman"/>
          <w:sz w:val="24"/>
          <w:szCs w:val="24"/>
        </w:rPr>
        <w:t xml:space="preserve">szabad </w:t>
      </w:r>
      <w:r w:rsidRPr="00606E52">
        <w:rPr>
          <w:rFonts w:ascii="Times New Roman" w:hAnsi="Times New Roman" w:cs="Times New Roman"/>
          <w:sz w:val="24"/>
          <w:szCs w:val="24"/>
        </w:rPr>
        <w:t>mozgás” jog részeként –</w:t>
      </w:r>
      <w:r w:rsidR="00606E52" w:rsidRPr="00606E52">
        <w:rPr>
          <w:rFonts w:ascii="Times New Roman" w:hAnsi="Times New Roman" w:cs="Times New Roman"/>
          <w:sz w:val="24"/>
          <w:szCs w:val="24"/>
        </w:rPr>
        <w:t xml:space="preserve"> a szociális rendszer </w:t>
      </w:r>
      <w:r w:rsidRPr="00606E52">
        <w:rPr>
          <w:rFonts w:ascii="Times New Roman" w:hAnsi="Times New Roman" w:cs="Times New Roman"/>
          <w:sz w:val="24"/>
          <w:szCs w:val="24"/>
        </w:rPr>
        <w:t xml:space="preserve">ellátásainak </w:t>
      </w:r>
      <w:r w:rsidR="00606E52" w:rsidRPr="00606E52">
        <w:rPr>
          <w:rFonts w:ascii="Times New Roman" w:hAnsi="Times New Roman" w:cs="Times New Roman"/>
          <w:sz w:val="24"/>
          <w:szCs w:val="24"/>
        </w:rPr>
        <w:t xml:space="preserve">igénybevétele is. A családtagok pedig minden esetben az </w:t>
      </w:r>
      <w:r w:rsidRPr="00606E52">
        <w:rPr>
          <w:rFonts w:ascii="Times New Roman" w:hAnsi="Times New Roman" w:cs="Times New Roman"/>
          <w:sz w:val="24"/>
          <w:szCs w:val="24"/>
        </w:rPr>
        <w:t>érintettekkel</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mehetnek, és meghatározott körben az adott</w:t>
      </w:r>
      <w:r w:rsidR="00606E52" w:rsidRPr="00606E52">
        <w:rPr>
          <w:rFonts w:ascii="Times New Roman" w:hAnsi="Times New Roman" w:cs="Times New Roman"/>
          <w:sz w:val="24"/>
          <w:szCs w:val="24"/>
        </w:rPr>
        <w:t xml:space="preserve"> </w:t>
      </w:r>
      <w:r w:rsidRPr="00606E52">
        <w:rPr>
          <w:rFonts w:ascii="Times New Roman" w:hAnsi="Times New Roman" w:cs="Times New Roman"/>
          <w:sz w:val="24"/>
          <w:szCs w:val="24"/>
        </w:rPr>
        <w:t>tagállamban munkát is vállalhatnak, illetve</w:t>
      </w:r>
      <w:r w:rsidR="003D1CA8">
        <w:rPr>
          <w:rFonts w:ascii="Times New Roman" w:hAnsi="Times New Roman" w:cs="Times New Roman"/>
          <w:sz w:val="24"/>
          <w:szCs w:val="24"/>
        </w:rPr>
        <w:t xml:space="preserve"> </w:t>
      </w:r>
      <w:r w:rsidRPr="00606E52">
        <w:rPr>
          <w:rFonts w:ascii="Times New Roman" w:hAnsi="Times New Roman" w:cs="Times New Roman"/>
          <w:sz w:val="24"/>
          <w:szCs w:val="24"/>
        </w:rPr>
        <w:t>vállalkozhatnak. A „szabad mozgás”</w:t>
      </w:r>
      <w:r w:rsidR="00606E52" w:rsidRPr="00606E52">
        <w:rPr>
          <w:rFonts w:ascii="Times New Roman" w:hAnsi="Times New Roman" w:cs="Times New Roman"/>
          <w:sz w:val="24"/>
          <w:szCs w:val="24"/>
        </w:rPr>
        <w:t xml:space="preserve"> gyakorlati </w:t>
      </w:r>
      <w:r w:rsidRPr="00606E52">
        <w:rPr>
          <w:rFonts w:ascii="Times New Roman" w:hAnsi="Times New Roman" w:cs="Times New Roman"/>
          <w:sz w:val="24"/>
          <w:szCs w:val="24"/>
        </w:rPr>
        <w:t>feltételei az adott</w:t>
      </w:r>
      <w:r w:rsidR="00606E52" w:rsidRPr="00606E52">
        <w:rPr>
          <w:rFonts w:ascii="Times New Roman" w:hAnsi="Times New Roman" w:cs="Times New Roman"/>
          <w:sz w:val="24"/>
          <w:szCs w:val="24"/>
        </w:rPr>
        <w:t xml:space="preserve"> személyi csoport által végzett </w:t>
      </w:r>
      <w:r w:rsidRPr="00606E52">
        <w:rPr>
          <w:rFonts w:ascii="Times New Roman" w:hAnsi="Times New Roman" w:cs="Times New Roman"/>
          <w:sz w:val="24"/>
          <w:szCs w:val="24"/>
        </w:rPr>
        <w:t>tevékenységhez kapcsolódnak.</w:t>
      </w:r>
      <w:r w:rsidR="006D4AC0">
        <w:rPr>
          <w:rStyle w:val="Lbjegyzet-hivatkozs"/>
          <w:rFonts w:ascii="Times New Roman" w:hAnsi="Times New Roman" w:cs="Times New Roman"/>
          <w:sz w:val="24"/>
          <w:szCs w:val="24"/>
        </w:rPr>
        <w:footnoteReference w:id="10"/>
      </w:r>
    </w:p>
    <w:p w:rsidR="00606E52" w:rsidRPr="00606E52" w:rsidRDefault="00606E52" w:rsidP="00606E52">
      <w:pPr>
        <w:autoSpaceDE w:val="0"/>
        <w:autoSpaceDN w:val="0"/>
        <w:adjustRightInd w:val="0"/>
        <w:spacing w:after="0" w:line="360" w:lineRule="auto"/>
        <w:rPr>
          <w:rFonts w:ascii="Times New Roman" w:hAnsi="Times New Roman" w:cs="Times New Roman"/>
          <w:sz w:val="24"/>
          <w:szCs w:val="24"/>
        </w:rPr>
      </w:pPr>
    </w:p>
    <w:p w:rsidR="00464A32" w:rsidRPr="00464A32" w:rsidRDefault="00464A32" w:rsidP="00464A32">
      <w:pPr>
        <w:pStyle w:val="Listaszerbekezds"/>
        <w:numPr>
          <w:ilvl w:val="0"/>
          <w:numId w:val="4"/>
        </w:numPr>
        <w:autoSpaceDE w:val="0"/>
        <w:autoSpaceDN w:val="0"/>
        <w:adjustRightInd w:val="0"/>
        <w:spacing w:after="0" w:line="360" w:lineRule="auto"/>
        <w:rPr>
          <w:rFonts w:ascii="Times New Roman" w:hAnsi="Times New Roman" w:cs="Times New Roman"/>
          <w:b/>
          <w:sz w:val="24"/>
          <w:szCs w:val="24"/>
        </w:rPr>
      </w:pPr>
      <w:r w:rsidRPr="00464A32">
        <w:rPr>
          <w:rFonts w:ascii="Times New Roman" w:hAnsi="Times New Roman" w:cs="Times New Roman"/>
          <w:b/>
          <w:sz w:val="24"/>
          <w:szCs w:val="24"/>
        </w:rPr>
        <w:t xml:space="preserve">A szabad mozgáshoz való jog – jogesetekkel bemutatva - </w:t>
      </w:r>
    </w:p>
    <w:p w:rsidR="00537F1C" w:rsidRDefault="0056516F"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szabad mozgáshoz való jog egyik jellemzője, hogy keretet ad az uniós polgárok másik tagállamban történő tartózkodásához, letelepedéséhez, ezzel csökkenti az egyes tagállamokon belül kialakult társadalmak egymástól való fizikai értelemben vett elszigeteltségét, és az emberi érintkezéseket európai összefüggésekbe helyezi. A Bíróság már a </w:t>
      </w:r>
      <w:r w:rsidRPr="0056516F">
        <w:rPr>
          <w:rFonts w:ascii="Times New Roman" w:hAnsi="Times New Roman" w:cs="Times New Roman"/>
          <w:i/>
          <w:sz w:val="24"/>
          <w:szCs w:val="24"/>
        </w:rPr>
        <w:t>Reyners ügyben</w:t>
      </w:r>
      <w:r>
        <w:rPr>
          <w:rFonts w:ascii="Times New Roman" w:hAnsi="Times New Roman" w:cs="Times New Roman"/>
          <w:sz w:val="24"/>
          <w:szCs w:val="24"/>
        </w:rPr>
        <w:t xml:space="preserve"> úgy jellemezte ezt, hogy a személyek szabad áramlását biztosító jogok (ott a letelepedéshez </w:t>
      </w:r>
      <w:r w:rsidR="00537F1C">
        <w:rPr>
          <w:rFonts w:ascii="Times New Roman" w:hAnsi="Times New Roman" w:cs="Times New Roman"/>
          <w:sz w:val="24"/>
          <w:szCs w:val="24"/>
        </w:rPr>
        <w:t>v</w:t>
      </w:r>
      <w:r>
        <w:rPr>
          <w:rFonts w:ascii="Times New Roman" w:hAnsi="Times New Roman" w:cs="Times New Roman"/>
          <w:sz w:val="24"/>
          <w:szCs w:val="24"/>
        </w:rPr>
        <w:t xml:space="preserve">aló </w:t>
      </w:r>
      <w:r>
        <w:rPr>
          <w:rFonts w:ascii="Times New Roman" w:hAnsi="Times New Roman" w:cs="Times New Roman"/>
          <w:sz w:val="24"/>
          <w:szCs w:val="24"/>
        </w:rPr>
        <w:lastRenderedPageBreak/>
        <w:t xml:space="preserve">jog) elősegítik a „gazdasági és társadalmi vegyülést” az európai társadalmak között. </w:t>
      </w:r>
      <w:r w:rsidR="00537F1C">
        <w:rPr>
          <w:rFonts w:ascii="Times New Roman" w:hAnsi="Times New Roman" w:cs="Times New Roman"/>
          <w:sz w:val="24"/>
          <w:szCs w:val="24"/>
        </w:rPr>
        <w:t xml:space="preserve">2/74 Reyners V Belgium /1974/ EBHT 0631, 21. pont, hasonlóan </w:t>
      </w:r>
      <w:r w:rsidR="00537F1C" w:rsidRPr="00537F1C">
        <w:rPr>
          <w:rFonts w:ascii="Times New Roman" w:hAnsi="Times New Roman" w:cs="Times New Roman"/>
          <w:i/>
          <w:sz w:val="24"/>
          <w:szCs w:val="24"/>
        </w:rPr>
        <w:t>C-55/94 Reinhard Gebhard</w:t>
      </w:r>
      <w:r w:rsidR="00537F1C">
        <w:rPr>
          <w:rFonts w:ascii="Times New Roman" w:hAnsi="Times New Roman" w:cs="Times New Roman"/>
          <w:sz w:val="24"/>
          <w:szCs w:val="24"/>
        </w:rPr>
        <w:t xml:space="preserve"> v Consiglio dell’Ordine degli Avvocati e Procuratori di Milano /1995/ EBHT I-4165, 25. pont. Amennyiben jövőbeli szempontból, egy európai társadalomban gondolkodik valaki, ennek fizikai alapja csak a szabad mozgáshoz való jog, és ez a bizonyos „vegyülés” lehet, mely biztosítja a fizikai értelemben vett feltételeit annak, hogy a mostani európai társadalmak közös jellemzői kialakuljanak. Erre világosan rámutatott már a nyolcvanas években Vilaca főtanácsnok az </w:t>
      </w:r>
      <w:r w:rsidR="00537F1C" w:rsidRPr="00537F1C">
        <w:rPr>
          <w:rFonts w:ascii="Times New Roman" w:hAnsi="Times New Roman" w:cs="Times New Roman"/>
          <w:i/>
          <w:sz w:val="24"/>
          <w:szCs w:val="24"/>
        </w:rPr>
        <w:t>Olasz lakáspolitika-ügyben</w:t>
      </w:r>
      <w:r w:rsidR="00537F1C">
        <w:rPr>
          <w:rFonts w:ascii="Times New Roman" w:hAnsi="Times New Roman" w:cs="Times New Roman"/>
          <w:sz w:val="24"/>
          <w:szCs w:val="24"/>
        </w:rPr>
        <w:t xml:space="preserve">, aki szerint a Reyners-ügyben hivatkozott gazdasági és szociális vegyülés lényegi folyamat az igazi „polgárok Európájának” eléréséhez. 63/86 Bizottság V Olaszország (Olasz lakáspolitika) /1988/ EBHT 0029, AG Vilaca 49. pont.  </w:t>
      </w:r>
    </w:p>
    <w:p w:rsidR="00537F1C" w:rsidRDefault="00537F1C" w:rsidP="00AE4FDA">
      <w:pPr>
        <w:autoSpaceDE w:val="0"/>
        <w:autoSpaceDN w:val="0"/>
        <w:adjustRightInd w:val="0"/>
        <w:spacing w:after="0" w:line="360" w:lineRule="auto"/>
        <w:rPr>
          <w:rFonts w:ascii="Times New Roman" w:hAnsi="Times New Roman" w:cs="Times New Roman"/>
          <w:sz w:val="24"/>
          <w:szCs w:val="24"/>
        </w:rPr>
      </w:pPr>
    </w:p>
    <w:p w:rsidR="0056516F" w:rsidRDefault="00537F1C"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szabad mozgáshoz való jog másik, lényeges jellemzője, hogy</w:t>
      </w:r>
      <w:r w:rsidR="00766CA7">
        <w:rPr>
          <w:rFonts w:ascii="Times New Roman" w:hAnsi="Times New Roman" w:cs="Times New Roman"/>
          <w:sz w:val="24"/>
          <w:szCs w:val="24"/>
        </w:rPr>
        <w:t xml:space="preserve"> érvényesülése során járulékos, és addig az uniós jogban esetleg nem is nevesített jogokat generál. Az uniós jog legtöbb esetben nemcsak a fizikai értelemben vett szabad mozgást védi, hanem azokat a célokat is, melyek miatt az egyének egy másik tagállamba mennek. Így a szabad mozgás védelme nemcsak abból áll, hogy egy másik tagállam fizikai értelemben nem akadályozhatja meg ezt (ez csak az alap), hanem abban is, hogy közvetve sem hiúsíthatja meg vagy nehezítheti el ezt a mozgást. Így például egy uniós polgár vállalkozó letelepedéshez (vállalkozást szolgáló szabad mozgáshoz és tartózkodáshoz) való jogát sértheti, ha a gyermeke a helyi állampolgárok gyermekeivel nem azonos feltételek mellett kap tanulmányaihoz szociális kedvezményt, </w:t>
      </w:r>
      <w:r w:rsidR="00766CA7" w:rsidRPr="00766CA7">
        <w:rPr>
          <w:rFonts w:ascii="Times New Roman" w:hAnsi="Times New Roman" w:cs="Times New Roman"/>
          <w:i/>
          <w:sz w:val="24"/>
          <w:szCs w:val="24"/>
        </w:rPr>
        <w:t>C-337/97 C.P.M. Meeusen</w:t>
      </w:r>
      <w:r w:rsidR="00766CA7">
        <w:rPr>
          <w:rFonts w:ascii="Times New Roman" w:hAnsi="Times New Roman" w:cs="Times New Roman"/>
          <w:sz w:val="24"/>
          <w:szCs w:val="24"/>
        </w:rPr>
        <w:t xml:space="preserve"> v Hoofddirectie van de Informatie Beheer Groep /1999/ EBHT I-3289, 27-28. pont. E járulékos jogok generálásához és meghatározásához szolgálhat eszközként az állampolgárságon alapuló megkülönböztetés tilalma, az EUMSz 18. cikk alapján. </w:t>
      </w:r>
      <w:r w:rsidR="006C37BE">
        <w:rPr>
          <w:rStyle w:val="Lbjegyzet-hivatkozs"/>
          <w:rFonts w:ascii="Times New Roman" w:hAnsi="Times New Roman" w:cs="Times New Roman"/>
          <w:sz w:val="24"/>
          <w:szCs w:val="24"/>
        </w:rPr>
        <w:footnoteReference w:id="11"/>
      </w:r>
      <w:r w:rsidR="00766CA7">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16F">
        <w:rPr>
          <w:rFonts w:ascii="Times New Roman" w:hAnsi="Times New Roman" w:cs="Times New Roman"/>
          <w:sz w:val="24"/>
          <w:szCs w:val="24"/>
        </w:rPr>
        <w:t xml:space="preserve">  </w:t>
      </w:r>
    </w:p>
    <w:p w:rsidR="008A21BF" w:rsidRDefault="008A21BF" w:rsidP="00AE4FDA">
      <w:pPr>
        <w:autoSpaceDE w:val="0"/>
        <w:autoSpaceDN w:val="0"/>
        <w:adjustRightInd w:val="0"/>
        <w:spacing w:after="0" w:line="360" w:lineRule="auto"/>
        <w:rPr>
          <w:rFonts w:ascii="Times New Roman" w:hAnsi="Times New Roman" w:cs="Times New Roman"/>
          <w:sz w:val="24"/>
          <w:szCs w:val="24"/>
        </w:rPr>
      </w:pPr>
    </w:p>
    <w:p w:rsidR="003420C2" w:rsidRDefault="008A21BF"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Az irodalom az Európai Bíróság </w:t>
      </w:r>
      <w:r w:rsidR="006C66FB" w:rsidRPr="006C66FB">
        <w:rPr>
          <w:rFonts w:ascii="Times New Roman" w:hAnsi="Times New Roman" w:cs="Times New Roman"/>
          <w:i/>
          <w:sz w:val="24"/>
          <w:szCs w:val="24"/>
        </w:rPr>
        <w:t>C-85/96.sz.</w:t>
      </w:r>
      <w:r w:rsidR="006C66FB">
        <w:rPr>
          <w:rFonts w:ascii="Times New Roman" w:hAnsi="Times New Roman" w:cs="Times New Roman"/>
          <w:i/>
          <w:sz w:val="24"/>
          <w:szCs w:val="24"/>
        </w:rPr>
        <w:t>,</w:t>
      </w:r>
      <w:r w:rsidR="006C66FB">
        <w:rPr>
          <w:rFonts w:ascii="Times New Roman" w:hAnsi="Times New Roman" w:cs="Times New Roman"/>
          <w:sz w:val="24"/>
          <w:szCs w:val="24"/>
        </w:rPr>
        <w:t xml:space="preserve"> </w:t>
      </w:r>
      <w:r w:rsidRPr="003420C2">
        <w:rPr>
          <w:rFonts w:ascii="Times New Roman" w:hAnsi="Times New Roman" w:cs="Times New Roman"/>
          <w:i/>
          <w:sz w:val="24"/>
          <w:szCs w:val="24"/>
        </w:rPr>
        <w:t>Martinez Sala ügyben</w:t>
      </w:r>
      <w:r>
        <w:rPr>
          <w:rFonts w:ascii="Times New Roman" w:hAnsi="Times New Roman" w:cs="Times New Roman"/>
          <w:sz w:val="24"/>
          <w:szCs w:val="24"/>
        </w:rPr>
        <w:t xml:space="preserve"> hozott ítéletét tekinti az első lépésnek az uniós polgárság önálló jogi tartalommal megtöltése felé. Martinez Sala, spanyol állampolgár 1968 óta tartózkodott Németországban. Bár nem dolgozott megszakítás nélkül, úgy vélte, hogy a német állampolgárokkal azonos jogok illetik meg a családi pótlék tekintetében. A német hatóságok elutasítását egyrészt a </w:t>
      </w:r>
      <w:r w:rsidR="003420C2">
        <w:rPr>
          <w:rFonts w:ascii="Times New Roman" w:hAnsi="Times New Roman" w:cs="Times New Roman"/>
          <w:sz w:val="24"/>
          <w:szCs w:val="24"/>
        </w:rPr>
        <w:t xml:space="preserve">Szerződésnek a munkavállalók között a tagállami hovatartozás szerinti diszkriminációt tiltó 39. cikkére, valamint az uniós </w:t>
      </w:r>
      <w:r w:rsidR="003420C2">
        <w:rPr>
          <w:rFonts w:ascii="Times New Roman" w:hAnsi="Times New Roman" w:cs="Times New Roman"/>
          <w:sz w:val="24"/>
          <w:szCs w:val="24"/>
        </w:rPr>
        <w:lastRenderedPageBreak/>
        <w:t>polgárságra hivatkozva támadta meg. Az Európai Bíróság a hölgy uniós polgárságából vezette le a fogadó ország állampolgáraival való egyenlő elbánás jogát.</w:t>
      </w:r>
    </w:p>
    <w:p w:rsidR="003420C2" w:rsidRDefault="003420C2" w:rsidP="00AE4FDA">
      <w:pPr>
        <w:autoSpaceDE w:val="0"/>
        <w:autoSpaceDN w:val="0"/>
        <w:adjustRightInd w:val="0"/>
        <w:spacing w:after="0" w:line="360" w:lineRule="auto"/>
        <w:rPr>
          <w:rFonts w:ascii="Times New Roman" w:hAnsi="Times New Roman" w:cs="Times New Roman"/>
          <w:sz w:val="24"/>
          <w:szCs w:val="24"/>
        </w:rPr>
      </w:pPr>
    </w:p>
    <w:p w:rsidR="00611BDD" w:rsidRDefault="003420C2"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Bíróság a</w:t>
      </w:r>
      <w:r w:rsidR="006C66FB">
        <w:rPr>
          <w:rFonts w:ascii="Times New Roman" w:hAnsi="Times New Roman" w:cs="Times New Roman"/>
          <w:sz w:val="24"/>
          <w:szCs w:val="24"/>
        </w:rPr>
        <w:t xml:space="preserve"> C-184/99.sz., </w:t>
      </w:r>
      <w:r w:rsidR="006C66FB" w:rsidRPr="006C66FB">
        <w:rPr>
          <w:rFonts w:ascii="Times New Roman" w:hAnsi="Times New Roman" w:cs="Times New Roman"/>
          <w:i/>
          <w:sz w:val="24"/>
          <w:szCs w:val="24"/>
        </w:rPr>
        <w:t>Rudi</w:t>
      </w:r>
      <w:r w:rsidRPr="006C66FB">
        <w:rPr>
          <w:rFonts w:ascii="Times New Roman" w:hAnsi="Times New Roman" w:cs="Times New Roman"/>
          <w:i/>
          <w:sz w:val="24"/>
          <w:szCs w:val="24"/>
        </w:rPr>
        <w:t xml:space="preserve"> </w:t>
      </w:r>
      <w:r w:rsidRPr="003420C2">
        <w:rPr>
          <w:rFonts w:ascii="Times New Roman" w:hAnsi="Times New Roman" w:cs="Times New Roman"/>
          <w:i/>
          <w:sz w:val="24"/>
          <w:szCs w:val="24"/>
        </w:rPr>
        <w:t>Grzelczyk ügyben</w:t>
      </w:r>
      <w:r>
        <w:rPr>
          <w:rFonts w:ascii="Times New Roman" w:hAnsi="Times New Roman" w:cs="Times New Roman"/>
          <w:sz w:val="24"/>
          <w:szCs w:val="24"/>
        </w:rPr>
        <w:t xml:space="preserve"> úgy tűnik tovább ment. Az ügyben egy francia állampolgárságú fiatalember, aki Belgiumban folytatott egyetemi tanulmányokat, tanulmányai utolsó évében folyamodott a belga jogban rendszeresített úgynevezett „minimális megélhetési költségek” elnevezésű támogatásért. Kérelmét elutasították azon az alapon, hogy a vonatkozó belga törvény értelmében ez a támogatás őt nem illeti meg. (Ha belga állampolgár lett volna, akkor igen.) Az előzetes döntéshozatalra irányuló kérdés arról szólt, hogy vajon a munkavállalók és a tanulók tartózkodására vonatkozó rendelkezésekkel (a 1612/68-as, illetve 93/96/EK-es számú irányelvek)</w:t>
      </w:r>
      <w:r w:rsidR="00611BDD">
        <w:rPr>
          <w:rFonts w:ascii="Times New Roman" w:hAnsi="Times New Roman" w:cs="Times New Roman"/>
          <w:sz w:val="24"/>
          <w:szCs w:val="24"/>
        </w:rPr>
        <w:t xml:space="preserve"> </w:t>
      </w:r>
      <w:r>
        <w:rPr>
          <w:rFonts w:ascii="Times New Roman" w:hAnsi="Times New Roman" w:cs="Times New Roman"/>
          <w:sz w:val="24"/>
          <w:szCs w:val="24"/>
        </w:rPr>
        <w:t xml:space="preserve">és a Szerződés 6. és 8. cikkeivel összeegyeztethető-e a belga szabályozás. </w:t>
      </w:r>
      <w:r w:rsidR="00611BDD">
        <w:rPr>
          <w:rFonts w:ascii="Times New Roman" w:hAnsi="Times New Roman" w:cs="Times New Roman"/>
          <w:sz w:val="24"/>
          <w:szCs w:val="24"/>
        </w:rPr>
        <w:t>Az ítélet kimondta:</w:t>
      </w:r>
    </w:p>
    <w:p w:rsidR="00611BDD" w:rsidRPr="00611BDD" w:rsidRDefault="00611BDD" w:rsidP="00AE4FDA">
      <w:pPr>
        <w:autoSpaceDE w:val="0"/>
        <w:autoSpaceDN w:val="0"/>
        <w:adjustRightInd w:val="0"/>
        <w:spacing w:after="0" w:line="360" w:lineRule="auto"/>
        <w:rPr>
          <w:rFonts w:ascii="Times New Roman" w:hAnsi="Times New Roman" w:cs="Times New Roman"/>
          <w:i/>
          <w:sz w:val="24"/>
          <w:szCs w:val="24"/>
        </w:rPr>
      </w:pPr>
      <w:r w:rsidRPr="00611BDD">
        <w:rPr>
          <w:rFonts w:ascii="Times New Roman" w:hAnsi="Times New Roman" w:cs="Times New Roman"/>
          <w:i/>
          <w:sz w:val="24"/>
          <w:szCs w:val="24"/>
        </w:rPr>
        <w:t>„31. Valójában az uniós polgárság státusának az a rendeltetése, hogy a tagállamok állampolgárainak alapvető státusa legyen, és lehetőé tegye számukra, hogy azonos helyzetben állampolgárságuktól függetlenül azonos jogi elbánásban legyen részük, kivéve a kifejezett tételeket.</w:t>
      </w:r>
    </w:p>
    <w:p w:rsidR="00611BDD" w:rsidRDefault="00611BDD" w:rsidP="00AE4FDA">
      <w:pPr>
        <w:autoSpaceDE w:val="0"/>
        <w:autoSpaceDN w:val="0"/>
        <w:adjustRightInd w:val="0"/>
        <w:spacing w:after="0" w:line="360" w:lineRule="auto"/>
        <w:rPr>
          <w:rFonts w:ascii="Times New Roman" w:hAnsi="Times New Roman" w:cs="Times New Roman"/>
          <w:i/>
          <w:sz w:val="24"/>
          <w:szCs w:val="24"/>
        </w:rPr>
      </w:pPr>
      <w:r w:rsidRPr="00611BDD">
        <w:rPr>
          <w:rFonts w:ascii="Times New Roman" w:hAnsi="Times New Roman" w:cs="Times New Roman"/>
          <w:i/>
          <w:sz w:val="24"/>
          <w:szCs w:val="24"/>
        </w:rPr>
        <w:t xml:space="preserve">  32. Amint azt a Martinez Sala ügy ítéletének 63. pontjában a Bíróság megállapította, egy uniós polgár, aki jogszerűen tartózkodik a fogadó állam területén, valamennyi, a közösségi jog tárgyi hatálya alá tartozó jogi helyzetben hivatkozhat a Szerződés 6. cikkére.”</w:t>
      </w:r>
    </w:p>
    <w:p w:rsidR="00611BDD" w:rsidRDefault="00611BDD"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Az ítélet az Unió alkotmányos berendezkedése, illetve az uniós polgárok jogi státusa konstrukciója szempontjából a szó szoros értelemben vett alapvető kitétele, miszerint „az uniós polgárság rendeltetése, hogy az uniós polgárok alapvető státusa legyen”. Ezzel a Bíróság - a maga részéről legalább elvi szinten – az uniós polgárokat különböző minőségükben – például munkavállaló, turista, diák, vállalkozó, zoon politikon – megillető jogok „anyajogává” az uniós polgárságot teszi. </w:t>
      </w:r>
    </w:p>
    <w:p w:rsidR="00611BDD" w:rsidRDefault="00611BDD" w:rsidP="00AE4FDA">
      <w:pPr>
        <w:autoSpaceDE w:val="0"/>
        <w:autoSpaceDN w:val="0"/>
        <w:adjustRightInd w:val="0"/>
        <w:spacing w:after="0" w:line="360" w:lineRule="auto"/>
        <w:rPr>
          <w:rFonts w:ascii="Times New Roman" w:hAnsi="Times New Roman" w:cs="Times New Roman"/>
          <w:sz w:val="24"/>
          <w:szCs w:val="24"/>
        </w:rPr>
      </w:pPr>
    </w:p>
    <w:p w:rsidR="00611BDD" w:rsidRDefault="00611BDD"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2000-es évezred első évtizedében a Bíróság egy sor további ítéletében bonthatta ki az uniós polgárság tartalmát. </w:t>
      </w:r>
    </w:p>
    <w:p w:rsidR="00611BDD" w:rsidRDefault="00611BDD" w:rsidP="00AE4FDA">
      <w:pPr>
        <w:autoSpaceDE w:val="0"/>
        <w:autoSpaceDN w:val="0"/>
        <w:adjustRightInd w:val="0"/>
        <w:spacing w:after="0" w:line="360" w:lineRule="auto"/>
        <w:rPr>
          <w:rFonts w:ascii="Times New Roman" w:hAnsi="Times New Roman" w:cs="Times New Roman"/>
          <w:sz w:val="24"/>
          <w:szCs w:val="24"/>
        </w:rPr>
      </w:pPr>
    </w:p>
    <w:p w:rsidR="00611BDD" w:rsidRPr="00611BDD" w:rsidRDefault="00611BDD" w:rsidP="00AE4FDA">
      <w:pPr>
        <w:autoSpaceDE w:val="0"/>
        <w:autoSpaceDN w:val="0"/>
        <w:adjustRightInd w:val="0"/>
        <w:spacing w:after="0" w:line="360" w:lineRule="auto"/>
        <w:rPr>
          <w:rFonts w:ascii="Times New Roman" w:hAnsi="Times New Roman" w:cs="Times New Roman"/>
          <w:sz w:val="24"/>
          <w:szCs w:val="24"/>
        </w:rPr>
      </w:pPr>
      <w:r w:rsidRPr="008513CB">
        <w:rPr>
          <w:rFonts w:ascii="Times New Roman" w:hAnsi="Times New Roman" w:cs="Times New Roman"/>
          <w:i/>
          <w:sz w:val="24"/>
          <w:szCs w:val="24"/>
        </w:rPr>
        <w:t>A C-33/07.sz., Jipa ügyben</w:t>
      </w:r>
      <w:r>
        <w:rPr>
          <w:rFonts w:ascii="Times New Roman" w:hAnsi="Times New Roman" w:cs="Times New Roman"/>
          <w:sz w:val="24"/>
          <w:szCs w:val="24"/>
        </w:rPr>
        <w:t xml:space="preserve"> 2</w:t>
      </w:r>
      <w:r w:rsidR="009C6385">
        <w:rPr>
          <w:rFonts w:ascii="Times New Roman" w:hAnsi="Times New Roman" w:cs="Times New Roman"/>
          <w:sz w:val="24"/>
          <w:szCs w:val="24"/>
        </w:rPr>
        <w:t>008. július 10-én hozott ítélet</w:t>
      </w:r>
      <w:r>
        <w:rPr>
          <w:rFonts w:ascii="Times New Roman" w:hAnsi="Times New Roman" w:cs="Times New Roman"/>
          <w:sz w:val="24"/>
          <w:szCs w:val="24"/>
        </w:rPr>
        <w:t>ben</w:t>
      </w:r>
      <w:r w:rsidR="009C6385">
        <w:rPr>
          <w:rFonts w:ascii="Times New Roman" w:hAnsi="Times New Roman" w:cs="Times New Roman"/>
          <w:sz w:val="24"/>
          <w:szCs w:val="24"/>
        </w:rPr>
        <w:t xml:space="preserve"> arra a kérdésre kellett választ adnia a Bíróságnak, hogy a közösségi joggal és különösen a 2004/38. számú irányelvvel ellentétes-e az olyan nemzeti szabályozás, amely elsősorban azért korlátozza valamely tagállam állampolgárának azon jogát, hogy egy másik tagállam területére léphessen, mert korábban ebből a tagállamból „jogellenes tartózkodás” miatt kitoloncolták.                                                               </w:t>
      </w:r>
      <w:r>
        <w:rPr>
          <w:rFonts w:ascii="Times New Roman" w:hAnsi="Times New Roman" w:cs="Times New Roman"/>
          <w:sz w:val="24"/>
          <w:szCs w:val="24"/>
        </w:rPr>
        <w:t xml:space="preserve">     </w:t>
      </w:r>
    </w:p>
    <w:p w:rsidR="008513CB" w:rsidRDefault="009C6385"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 Bíróság megállapította, hogy az ilyen állampolgár uniós polgár jogállással rendelkezik, tehát származási tagállamával szemben is hivatkozhat a tagállamok területén való szabad mozgás és tartózkodás jogára, amely magában foglalja mind az Európai Unió származási tagállamuktól eltérő tagállamba való belépés jogát, mind a származási ország elhagyásának jogát. Ezt a jogot lehet korlátozni közrendi vagy közbiztonsági okokból, de ennek a korlátozásnak az egyén személyes magatartásán kell alapulnia, s ennek a magatartásnak a jelenben</w:t>
      </w:r>
      <w:r w:rsidR="008513CB">
        <w:rPr>
          <w:rFonts w:ascii="Times New Roman" w:hAnsi="Times New Roman" w:cs="Times New Roman"/>
          <w:sz w:val="24"/>
          <w:szCs w:val="24"/>
        </w:rPr>
        <w:t xml:space="preserve">, valóságosan és kellően súlyosan kell veszélyeztetnie a társadalom valamely alapvető értékét. A korlátozó intézkedések a cél eléréséhez szükségesnek és arányosnak kell lennie. A kilépés korlátozása nem alapulhat kizárólag a kitoloncolás tényén. </w:t>
      </w:r>
    </w:p>
    <w:p w:rsidR="008513CB" w:rsidRPr="008513CB" w:rsidRDefault="008513CB" w:rsidP="00AE4FDA">
      <w:pPr>
        <w:autoSpaceDE w:val="0"/>
        <w:autoSpaceDN w:val="0"/>
        <w:adjustRightInd w:val="0"/>
        <w:spacing w:after="0" w:line="360" w:lineRule="auto"/>
        <w:rPr>
          <w:rFonts w:ascii="Times New Roman" w:hAnsi="Times New Roman" w:cs="Times New Roman"/>
          <w:i/>
          <w:sz w:val="24"/>
          <w:szCs w:val="24"/>
        </w:rPr>
      </w:pPr>
    </w:p>
    <w:p w:rsidR="008A21BF" w:rsidRPr="008513CB" w:rsidRDefault="008513CB" w:rsidP="00AE4FDA">
      <w:pPr>
        <w:autoSpaceDE w:val="0"/>
        <w:autoSpaceDN w:val="0"/>
        <w:adjustRightInd w:val="0"/>
        <w:spacing w:after="0" w:line="360" w:lineRule="auto"/>
        <w:rPr>
          <w:rFonts w:ascii="Times New Roman" w:hAnsi="Times New Roman" w:cs="Times New Roman"/>
          <w:i/>
          <w:sz w:val="24"/>
          <w:szCs w:val="24"/>
        </w:rPr>
      </w:pPr>
      <w:r w:rsidRPr="008513CB">
        <w:rPr>
          <w:rFonts w:ascii="Times New Roman" w:hAnsi="Times New Roman" w:cs="Times New Roman"/>
          <w:i/>
          <w:sz w:val="24"/>
          <w:szCs w:val="24"/>
        </w:rPr>
        <w:t xml:space="preserve">A C-353/06.sz., Grunkin és Paul ügyben </w:t>
      </w:r>
      <w:r w:rsidR="00145A70">
        <w:rPr>
          <w:rFonts w:ascii="Times New Roman" w:hAnsi="Times New Roman" w:cs="Times New Roman"/>
          <w:sz w:val="24"/>
          <w:szCs w:val="24"/>
        </w:rPr>
        <w:t xml:space="preserve">2008. október 14-én hozott ítéletben egy olyan jogkérdésben foglalt állást a Bíróság, amely távol esik a különböző tartózkodási jogosultságoktól, ráadásul a terület a tagállamok szabályozási hatáskörébe tartozik.                                                  </w:t>
      </w:r>
      <w:r w:rsidR="00611BDD" w:rsidRPr="008513CB">
        <w:rPr>
          <w:rFonts w:ascii="Times New Roman" w:hAnsi="Times New Roman" w:cs="Times New Roman"/>
          <w:i/>
          <w:sz w:val="24"/>
          <w:szCs w:val="24"/>
        </w:rPr>
        <w:t xml:space="preserve">    </w:t>
      </w:r>
      <w:r w:rsidR="003420C2" w:rsidRPr="008513CB">
        <w:rPr>
          <w:rFonts w:ascii="Times New Roman" w:hAnsi="Times New Roman" w:cs="Times New Roman"/>
          <w:i/>
          <w:sz w:val="24"/>
          <w:szCs w:val="24"/>
        </w:rPr>
        <w:t xml:space="preserve"> </w:t>
      </w:r>
      <w:r w:rsidR="008A21BF" w:rsidRPr="008513CB">
        <w:rPr>
          <w:rFonts w:ascii="Times New Roman" w:hAnsi="Times New Roman" w:cs="Times New Roman"/>
          <w:i/>
          <w:sz w:val="24"/>
          <w:szCs w:val="24"/>
        </w:rPr>
        <w:t xml:space="preserve">  </w:t>
      </w:r>
    </w:p>
    <w:p w:rsidR="00F239D9" w:rsidRDefault="00145A70"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Az alapeljárás tényei a Dániában született és ott élő, születéskor apja és anyja nevéből összetett kettős névvel anyakönyvezett német állampolgár gyermek családnevével kapcsolatosak. A gyermek szülei e kettős névnek a Németországban vezetett anyakönyvbe való bejegyzését kérték, amit azzal utasítottak vissza, hogy a német állampolgárok névviselését a német jog szabályozza, amely nem teszi lehetővé kettős név viselését. A Bíróság kimondta: a családnévre vonatkozó szabályozás a tagállamok hatáskörébe tartozik, ám a tagállamoknak e hatáskörük gyakorlása során tiszteletben kell tartaniuk a közösségi jogot. Az a tény, hogy valaki abban a tagállamban, amelynek állampolgárságával rendelkezik, más nevet köteles viselni, mint amelyet a születési és lakóhelye szerinti tagállamban részére anyakönyveztek, alkalmas az uniós polgárok szabd mozgáshoz való joga gyakorlásának akadályozására. A különböző német és dán okiratokban feltüntetett családnevek eltérése komoly szakmai és magánéleti hátrányokat okozhat az érintettnek. Minthogy a német korlátozó rendelkezések nem kellően indokoltak, a Bíróság azt a következtetést vonta le, hogy a kérdés szabályozása ellentétes az uniós polgárok tagállamok területén való szabad mozgáshoz és tartózkodáshoz való jogával. </w:t>
      </w:r>
    </w:p>
    <w:p w:rsidR="00145A70" w:rsidRDefault="00145A70" w:rsidP="00AE4FDA">
      <w:pPr>
        <w:autoSpaceDE w:val="0"/>
        <w:autoSpaceDN w:val="0"/>
        <w:adjustRightInd w:val="0"/>
        <w:spacing w:after="0" w:line="360" w:lineRule="auto"/>
        <w:rPr>
          <w:rFonts w:ascii="Times New Roman" w:hAnsi="Times New Roman" w:cs="Times New Roman"/>
          <w:sz w:val="24"/>
          <w:szCs w:val="24"/>
        </w:rPr>
      </w:pPr>
    </w:p>
    <w:p w:rsidR="00145A70" w:rsidRDefault="00145A70" w:rsidP="00AE4FDA">
      <w:pPr>
        <w:autoSpaceDE w:val="0"/>
        <w:autoSpaceDN w:val="0"/>
        <w:adjustRightInd w:val="0"/>
        <w:spacing w:after="0" w:line="360" w:lineRule="auto"/>
        <w:rPr>
          <w:rFonts w:ascii="Times New Roman" w:hAnsi="Times New Roman" w:cs="Times New Roman"/>
          <w:sz w:val="24"/>
          <w:szCs w:val="24"/>
        </w:rPr>
      </w:pPr>
      <w:r w:rsidRPr="00145A70">
        <w:rPr>
          <w:rFonts w:ascii="Times New Roman" w:hAnsi="Times New Roman" w:cs="Times New Roman"/>
          <w:i/>
          <w:sz w:val="24"/>
          <w:szCs w:val="24"/>
        </w:rPr>
        <w:t>A C-544/07.sz., Rüffler ügyben</w:t>
      </w:r>
      <w:r>
        <w:rPr>
          <w:rFonts w:ascii="Times New Roman" w:hAnsi="Times New Roman" w:cs="Times New Roman"/>
          <w:sz w:val="24"/>
          <w:szCs w:val="24"/>
        </w:rPr>
        <w:t xml:space="preserve"> 2009. április 23-án hozott ítéletben egyértelműen elválik a munkavállalói státus és az uniós polgár státus a mozgáshoz és a tartózkodáshoz való jog tekintetében.</w:t>
      </w:r>
    </w:p>
    <w:p w:rsidR="00145A70" w:rsidRDefault="00145A70"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Rüffler korábbi német munkavállaló, aki nyugdíjas korára Lengyelországban telepedett le. Németországban két nyugellátásban részesült, amelyek közül az egyik Németországban, a </w:t>
      </w:r>
      <w:r>
        <w:rPr>
          <w:rFonts w:ascii="Times New Roman" w:hAnsi="Times New Roman" w:cs="Times New Roman"/>
          <w:sz w:val="24"/>
          <w:szCs w:val="24"/>
        </w:rPr>
        <w:lastRenderedPageBreak/>
        <w:t xml:space="preserve">másik Lengyelországban adóköteles.  U. Rüffler azzal a kérelemmel fordult a lengyel adóhatósághoz, hogy a Lengyelországban fizetendő jövedelemadóját csökkentsék az általa Németországban fizetett egészségbiztosítási járulékok összegével. </w:t>
      </w:r>
      <w:r w:rsidR="00BB36B4">
        <w:rPr>
          <w:rFonts w:ascii="Times New Roman" w:hAnsi="Times New Roman" w:cs="Times New Roman"/>
          <w:sz w:val="24"/>
          <w:szCs w:val="24"/>
        </w:rPr>
        <w:t xml:space="preserve">A kérelmet azzal utasították el, hogy a lengyel jogszabályok értelmében csak a lengyelországi egészségbiztosítási intézmény részére fizetett járulékokat lehet levonni. Az ügy a nemzeti bíróságra, majd a Bíróságra került előzetes döntéshozatalra. </w:t>
      </w:r>
      <w:r>
        <w:rPr>
          <w:rFonts w:ascii="Times New Roman" w:hAnsi="Times New Roman" w:cs="Times New Roman"/>
          <w:sz w:val="24"/>
          <w:szCs w:val="24"/>
        </w:rPr>
        <w:t xml:space="preserve"> </w:t>
      </w:r>
    </w:p>
    <w:p w:rsidR="00BB36B4" w:rsidRDefault="00BB36B4"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Bíróság mindenekelőtt kizárta az EK 39. cikkére alapozott érvelést (Ez a cikk tartalmazta a munkavállalóknak az Unió területén való szabad mozgására és tartózkodására vonatkozó rendelkezéseket. – VE), mivel ez a cikk csak az aktív vagy az álláskereső munkavállalókra vonatkozhat. U. Rüffler ugyanakkor – így a Bíróság – hivatkozhat uniós polgár jogállására, vagyis a tagállamok területén való szabad mozgáshoz és tartózkodáshoz való jogára, amelyet az EK 18. cikk (jelenleg EUMSz 21. cikk) biztosít számára. Az adószabályról megállapította, hogy az hátrányosan kezeli azokat az adóalanyokat, akik a szabad mozgáshoz való jogukat gyakorolták, amikor elhagyták azt a tagállamot, ahol a kereső tevékenységüket folytatták. A jövedelemadóból történő levonhatóságot biztosító jog ilyen korlátozása a tagállamok t</w:t>
      </w:r>
      <w:r w:rsidR="00DD30D8">
        <w:rPr>
          <w:rFonts w:ascii="Times New Roman" w:hAnsi="Times New Roman" w:cs="Times New Roman"/>
          <w:sz w:val="24"/>
          <w:szCs w:val="24"/>
        </w:rPr>
        <w:t>e</w:t>
      </w:r>
      <w:r>
        <w:rPr>
          <w:rFonts w:ascii="Times New Roman" w:hAnsi="Times New Roman" w:cs="Times New Roman"/>
          <w:sz w:val="24"/>
          <w:szCs w:val="24"/>
        </w:rPr>
        <w:t xml:space="preserve">rületén való szabad mozgáshoz és tartózkodáshoz való jog objektíven nem igazolható korlátozásának minősül. </w:t>
      </w:r>
    </w:p>
    <w:p w:rsidR="00BB36B4" w:rsidRDefault="00BB36B4" w:rsidP="00AE4FDA">
      <w:pPr>
        <w:autoSpaceDE w:val="0"/>
        <w:autoSpaceDN w:val="0"/>
        <w:adjustRightInd w:val="0"/>
        <w:spacing w:after="0" w:line="360" w:lineRule="auto"/>
        <w:rPr>
          <w:rFonts w:ascii="Times New Roman" w:hAnsi="Times New Roman" w:cs="Times New Roman"/>
          <w:sz w:val="24"/>
          <w:szCs w:val="24"/>
        </w:rPr>
      </w:pPr>
    </w:p>
    <w:p w:rsidR="00145A70" w:rsidRDefault="00BB36B4" w:rsidP="00AE4F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Ezeknek az ítéletnek a sorát Tryfonidou úgy jellemzi, mint amelyekben az Európai Bíróság az eredetileg bizonytalan tartalmú uniós polgárság státust önálló tartalommal igyekszik megtölteni.</w:t>
      </w:r>
      <w:r w:rsidR="006C66FB">
        <w:rPr>
          <w:rStyle w:val="Lbjegyzet-hivatkozs"/>
          <w:rFonts w:ascii="Times New Roman" w:hAnsi="Times New Roman" w:cs="Times New Roman"/>
          <w:sz w:val="24"/>
          <w:szCs w:val="24"/>
        </w:rPr>
        <w:footnoteReference w:id="12"/>
      </w:r>
      <w:r>
        <w:rPr>
          <w:rFonts w:ascii="Times New Roman" w:hAnsi="Times New Roman" w:cs="Times New Roman"/>
          <w:sz w:val="24"/>
          <w:szCs w:val="24"/>
        </w:rPr>
        <w:t xml:space="preserve">   </w:t>
      </w:r>
      <w:r w:rsidR="00145A70">
        <w:rPr>
          <w:rFonts w:ascii="Times New Roman" w:hAnsi="Times New Roman" w:cs="Times New Roman"/>
          <w:sz w:val="24"/>
          <w:szCs w:val="24"/>
        </w:rPr>
        <w:t xml:space="preserve">   </w:t>
      </w:r>
    </w:p>
    <w:p w:rsidR="00464A32" w:rsidRPr="00145A70" w:rsidRDefault="00464A32" w:rsidP="00AE4FDA">
      <w:pPr>
        <w:autoSpaceDE w:val="0"/>
        <w:autoSpaceDN w:val="0"/>
        <w:adjustRightInd w:val="0"/>
        <w:spacing w:after="0" w:line="360" w:lineRule="auto"/>
        <w:rPr>
          <w:rFonts w:ascii="Times New Roman" w:hAnsi="Times New Roman" w:cs="Times New Roman"/>
          <w:sz w:val="24"/>
          <w:szCs w:val="24"/>
        </w:rPr>
      </w:pPr>
    </w:p>
    <w:p w:rsidR="005827E8" w:rsidRDefault="008A21BF" w:rsidP="00180DAA">
      <w:pPr>
        <w:pStyle w:val="Listaszerbekezds"/>
        <w:numPr>
          <w:ilvl w:val="0"/>
          <w:numId w:val="4"/>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További j</w:t>
      </w:r>
      <w:r w:rsidR="005827E8" w:rsidRPr="00180DAA">
        <w:rPr>
          <w:rFonts w:ascii="Times New Roman" w:hAnsi="Times New Roman" w:cs="Times New Roman"/>
          <w:b/>
          <w:sz w:val="24"/>
          <w:szCs w:val="24"/>
        </w:rPr>
        <w:t>ogesetek</w:t>
      </w:r>
    </w:p>
    <w:p w:rsidR="00180DAA" w:rsidRDefault="00180DAA" w:rsidP="00180DAA">
      <w:pPr>
        <w:pStyle w:val="Listaszerbekezds"/>
        <w:numPr>
          <w:ilvl w:val="1"/>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w:t>
      </w:r>
      <w:r w:rsidRPr="00180DAA">
        <w:rPr>
          <w:rFonts w:ascii="Times New Roman" w:hAnsi="Times New Roman" w:cs="Times New Roman"/>
          <w:sz w:val="24"/>
          <w:szCs w:val="24"/>
        </w:rPr>
        <w:t xml:space="preserve"> Bettray-ügy</w:t>
      </w:r>
    </w:p>
    <w:p w:rsidR="00180DAA" w:rsidRDefault="00180DAA" w:rsidP="00180DAA">
      <w:pPr>
        <w:pStyle w:val="NormlWeb"/>
        <w:spacing w:line="276" w:lineRule="auto"/>
        <w:jc w:val="both"/>
      </w:pPr>
      <w:r>
        <w:t xml:space="preserve">A </w:t>
      </w:r>
      <w:r w:rsidRPr="00803BD1">
        <w:t>Bettray eljárásban</w:t>
      </w:r>
      <w:r>
        <w:t xml:space="preserve"> egy német illetőségű személyről volt szó, aki részt vett egy, volt kábítószer-élvezők számára a holland hatóságok által fenntartott és finanszírozott munkaterápiás foglalkoztatásban, vagyis a holland WSW szerinti munkavállalással foglalkozott. Amint az a Bíróság ítéletéből kitűnik, a hivatkozott törvény arra irányuló szabályokat tartalmaz, hogy munkavégzési képességük fenntartása, helyreállítása és fejlesztése céljából munkalehetőséget biztosítsanak olyan személyek részére, akik az állapotukból adódó körülmények miatt határozatlan időtartamig nem képesek arra, hogy rendes feltételek szerint munkát vállaljanak. Ennek eléréséhez olyan vállalkozásokat és munkavégzési szövetkezéseket hoz létre, amelyek kizárólagos célja az, hogy az érintett </w:t>
      </w:r>
      <w:r>
        <w:lastRenderedPageBreak/>
        <w:t>személyek részére lehetőséget biztosítsanak arra, hogy munkavégzés címén fizetett tevékenységet gyakorolhassanak – olyan feltételek mellett, amelyek a lehető legteljesebb mértékig összeegyeztethetőek a rendes feltételek szerinti fizetett munkaviszonyra vonatkozó jogszabályokkal és gyakorlattal.</w:t>
      </w:r>
      <w:r>
        <w:rPr>
          <w:rStyle w:val="Lbjegyzet-hivatkozs"/>
        </w:rPr>
        <w:footnoteReference w:id="13"/>
      </w:r>
      <w:r>
        <w:t xml:space="preserve"> A Bettray-ügy tanulsága szerint nem tekinthető munkavégzésnek a szociális foglalkoztatás, akkor sem, ha az bizonyos ellenérték fejében történik, ha a foglalkoztatás elsődleges célja a rehabilitáció és nem a tényleges munkavégzés.</w:t>
      </w:r>
      <w:r>
        <w:rPr>
          <w:rStyle w:val="Lbjegyzet-hivatkozs"/>
        </w:rPr>
        <w:footnoteReference w:id="14"/>
      </w:r>
      <w:r>
        <w:t xml:space="preserve"> Az Európai Bíróság az ügyben úgy döntött, hogy nem adható meg a dolgozói státusz annak a személynek, akinek tevékenysége sokkal inkább saját személyes szükségletei, mintsem valóságos gazdasági szükség határozza meg.</w:t>
      </w:r>
    </w:p>
    <w:p w:rsidR="00180DAA" w:rsidRDefault="00803BD1" w:rsidP="00180DAA">
      <w:pPr>
        <w:pStyle w:val="NormlWeb"/>
        <w:numPr>
          <w:ilvl w:val="1"/>
          <w:numId w:val="4"/>
        </w:numPr>
        <w:spacing w:line="276" w:lineRule="auto"/>
        <w:jc w:val="both"/>
      </w:pPr>
      <w:r>
        <w:t xml:space="preserve"> A Bosman-ügy</w:t>
      </w:r>
    </w:p>
    <w:p w:rsidR="00803BD1" w:rsidRPr="00803BD1" w:rsidRDefault="00803BD1"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sidRPr="00803BD1">
        <w:rPr>
          <w:rFonts w:ascii="Times New Roman" w:eastAsia="Times New Roman" w:hAnsi="Times New Roman" w:cs="Times New Roman"/>
          <w:sz w:val="24"/>
          <w:szCs w:val="24"/>
          <w:lang w:eastAsia="hu-HU"/>
        </w:rPr>
        <w:t>A Bosman-ügy alaptényállásában a belga nemzeti labdarúgó-szövetségek azon szabálya volt vitatott, amelyik előírta, hogy a hivatásos játékosok szerződésük lejárta után sem szerződhetnek át más tagállamok klubjaihoz egészen addig, míg ezek a klubok meg nem fizetik nekik az úgynevezett képzési díjat. Az Európai Bíróság szerint az ilyen előírások a játékosok tagállamok közötti mozgásának akadályát jelentik, mivel a játékosok szerződésük lejárta után sem tudják könnyen elhagyni korábbi klubjukat.</w:t>
      </w:r>
    </w:p>
    <w:p w:rsidR="00803BD1" w:rsidRDefault="00803BD1"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sidRPr="00803BD1">
        <w:rPr>
          <w:rFonts w:ascii="Times New Roman" w:eastAsia="Times New Roman" w:hAnsi="Times New Roman" w:cs="Times New Roman"/>
          <w:sz w:val="24"/>
          <w:szCs w:val="24"/>
          <w:lang w:eastAsia="hu-HU"/>
        </w:rPr>
        <w:t xml:space="preserve">A munkavállalás szabadságának gyakorlása szempontjából releváns tényező, hogy mit tekint a közösségi jog munkaviszonynak és kit tart munkavállalónak. A </w:t>
      </w:r>
      <w:r w:rsidRPr="00BB0EE6">
        <w:rPr>
          <w:rFonts w:ascii="Times New Roman" w:eastAsia="Times New Roman" w:hAnsi="Times New Roman" w:cs="Times New Roman"/>
          <w:iCs/>
          <w:sz w:val="24"/>
          <w:szCs w:val="24"/>
          <w:lang w:eastAsia="hu-HU"/>
        </w:rPr>
        <w:t>munkaviszony</w:t>
      </w:r>
      <w:r w:rsidRPr="00803BD1">
        <w:rPr>
          <w:rFonts w:ascii="Times New Roman" w:eastAsia="Times New Roman" w:hAnsi="Times New Roman" w:cs="Times New Roman"/>
          <w:i/>
          <w:iCs/>
          <w:sz w:val="24"/>
          <w:szCs w:val="24"/>
          <w:lang w:eastAsia="hu-HU"/>
        </w:rPr>
        <w:t xml:space="preserve"> </w:t>
      </w:r>
      <w:r w:rsidRPr="00803BD1">
        <w:rPr>
          <w:rFonts w:ascii="Times New Roman" w:eastAsia="Times New Roman" w:hAnsi="Times New Roman" w:cs="Times New Roman"/>
          <w:sz w:val="24"/>
          <w:szCs w:val="24"/>
          <w:lang w:eastAsia="hu-HU"/>
        </w:rPr>
        <w:t>fogalmát a Bíróság joggyakorlata alakította ki. Eszerint munkaviszony: gazdasági jellegű szolgáltatás más javára való, más irányítása alatt történő nyújtása javadalmazás ellenében. Fontos eleme tehát a fogalomnak, hogy a tevékenység gazdasági jellegű legyen, annak végzése más javára és más irányítása alatt történjen - hiszen ennek hiányában már önálló vállalkozókról beszélhetnénk - és mindez ellenszolgáltatás fejében történjen. A Bíróság azt is elvárta továbbá, hogy a munkavégzés tényleges és valóságos legyen, vagyis nem tartja a fogalom körébe tartozónak a mellékes, elhanyagolható mértékű gazdasági tevékenységet.</w:t>
      </w:r>
      <w:r>
        <w:rPr>
          <w:rStyle w:val="Lbjegyzet-hivatkozs"/>
          <w:rFonts w:ascii="Times New Roman" w:eastAsia="Times New Roman" w:hAnsi="Times New Roman" w:cs="Times New Roman"/>
          <w:sz w:val="24"/>
          <w:szCs w:val="24"/>
          <w:lang w:eastAsia="hu-HU"/>
        </w:rPr>
        <w:footnoteReference w:id="15"/>
      </w:r>
    </w:p>
    <w:p w:rsidR="00BB0EE6" w:rsidRDefault="00BB0EE6"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p>
    <w:p w:rsidR="00BB0EE6" w:rsidRDefault="00BB0EE6"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p>
    <w:p w:rsidR="00803BD1" w:rsidRDefault="00803BD1" w:rsidP="00803BD1">
      <w:pPr>
        <w:pStyle w:val="Listaszerbekezds"/>
        <w:numPr>
          <w:ilvl w:val="1"/>
          <w:numId w:val="4"/>
        </w:num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Van Duyn-ügy</w:t>
      </w:r>
    </w:p>
    <w:p w:rsidR="00803BD1" w:rsidRDefault="00803BD1"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sidRPr="00803BD1">
        <w:rPr>
          <w:rFonts w:ascii="Times New Roman" w:eastAsia="Times New Roman" w:hAnsi="Times New Roman" w:cs="Times New Roman"/>
          <w:sz w:val="24"/>
          <w:szCs w:val="24"/>
          <w:lang w:eastAsia="hu-HU"/>
        </w:rPr>
        <w:t>A Van Duyn-esetben</w:t>
      </w:r>
      <w:r w:rsidRPr="00803BD1">
        <w:rPr>
          <w:rFonts w:ascii="Times New Roman" w:eastAsia="Times New Roman" w:hAnsi="Times New Roman" w:cs="Times New Roman"/>
          <w:sz w:val="24"/>
          <w:szCs w:val="24"/>
          <w:vertAlign w:val="superscript"/>
          <w:lang w:eastAsia="hu-HU"/>
        </w:rPr>
        <w:t xml:space="preserve"> </w:t>
      </w:r>
      <w:r w:rsidRPr="00803BD1">
        <w:rPr>
          <w:rFonts w:ascii="Times New Roman" w:eastAsia="Times New Roman" w:hAnsi="Times New Roman" w:cs="Times New Roman"/>
          <w:sz w:val="24"/>
          <w:szCs w:val="24"/>
          <w:lang w:eastAsia="hu-HU"/>
        </w:rPr>
        <w:t>egy holland állampolgárságú hölgy azért utazott volna az Egyesült Királyságba, hogy az angol szcientológia egyháznál dolgozzon. Van Duyn kisasszony munkavállalását az angol hatóságok arra hivatkozással tagadták meg, hogy a szcientológia egyház, bár tevékenysége nem tiltott az Egyesült Királyságban, működése ellentétes a közérdekkel, ezért azt igyekeznek visszaszorítani.</w:t>
      </w:r>
    </w:p>
    <w:p w:rsidR="00803BD1" w:rsidRPr="00803BD1" w:rsidRDefault="00803BD1" w:rsidP="00803BD1">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sidRPr="00803BD1">
        <w:rPr>
          <w:rFonts w:ascii="Times New Roman" w:eastAsia="Times New Roman" w:hAnsi="Times New Roman" w:cs="Times New Roman"/>
          <w:sz w:val="24"/>
          <w:szCs w:val="24"/>
          <w:lang w:eastAsia="hu-HU"/>
        </w:rPr>
        <w:t>Az adott ügyben a Bíróság elfogadta a közrendre való hivatkozás lehetőségét. Elutasította viszont abban az ügyben, ahol két francia prostituáltat e tevékenységük jellege miatt nem engedtek be Belgiumba, ahol ugyan korlátozták az ilyen jellegű tevékenységet, mégsem érvényesült teljes tilalom. A Bíróság valamennyi ilyen ügyben kiemelte, hogy a közrendre való hivatkozás esetében a társadalom. valamely alapvető érdekét sértő tényleges és súlyos fenyegetésnek kell fennállnia.</w:t>
      </w:r>
      <w:r w:rsidR="00794EF8">
        <w:rPr>
          <w:rStyle w:val="Lbjegyzet-hivatkozs"/>
          <w:rFonts w:ascii="Times New Roman" w:eastAsia="Times New Roman" w:hAnsi="Times New Roman" w:cs="Times New Roman"/>
          <w:sz w:val="24"/>
          <w:szCs w:val="24"/>
          <w:lang w:eastAsia="hu-HU"/>
        </w:rPr>
        <w:footnoteReference w:id="16"/>
      </w:r>
    </w:p>
    <w:p w:rsidR="00B55DC9" w:rsidRPr="00B55DC9" w:rsidRDefault="00B55DC9" w:rsidP="00B55DC9">
      <w:pPr>
        <w:pStyle w:val="Listaszerbekezds"/>
        <w:numPr>
          <w:ilvl w:val="1"/>
          <w:numId w:val="4"/>
        </w:numPr>
        <w:spacing w:before="100" w:beforeAutospacing="1" w:after="100" w:afterAutospacing="1"/>
        <w:jc w:val="both"/>
        <w:rPr>
          <w:rFonts w:ascii="Times New Roman" w:eastAsia="Times New Roman" w:hAnsi="Times New Roman" w:cs="Times New Roman"/>
          <w:sz w:val="24"/>
          <w:szCs w:val="24"/>
          <w:lang w:eastAsia="hu-HU"/>
        </w:rPr>
      </w:pPr>
      <w:r w:rsidRPr="00B55DC9">
        <w:rPr>
          <w:rFonts w:ascii="Times New Roman" w:eastAsia="Times New Roman" w:hAnsi="Times New Roman" w:cs="Times New Roman"/>
          <w:sz w:val="24"/>
          <w:szCs w:val="24"/>
          <w:lang w:eastAsia="hu-HU"/>
        </w:rPr>
        <w:t>A Baumbast ügy</w:t>
      </w:r>
    </w:p>
    <w:p w:rsidR="00B55DC9" w:rsidRDefault="00B55DC9" w:rsidP="00B55DC9">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Európai Bíróság joggyakorlatában a tartózkodási jogosultságok tekintetében is számos jogesetet találunk. A </w:t>
      </w:r>
      <w:r>
        <w:rPr>
          <w:rFonts w:ascii="Times New Roman" w:eastAsia="Times New Roman" w:hAnsi="Times New Roman" w:cs="Times New Roman"/>
          <w:i/>
          <w:sz w:val="24"/>
          <w:szCs w:val="24"/>
          <w:lang w:eastAsia="hu-HU"/>
        </w:rPr>
        <w:t>Baumbast ügyben</w:t>
      </w:r>
      <w:r>
        <w:rPr>
          <w:rFonts w:ascii="Times New Roman" w:eastAsia="Times New Roman" w:hAnsi="Times New Roman" w:cs="Times New Roman"/>
          <w:sz w:val="24"/>
          <w:szCs w:val="24"/>
          <w:lang w:eastAsia="hu-HU"/>
        </w:rPr>
        <w:t xml:space="preserve"> 2002 végén döntött az Európai Bíróság. Az Egyesült Királyságban élő Baumbast úr német állampolgár volt, a felesége kolumbiai, az egyik lányuk csak kolumbiai állampolgár volt, a közös gyerekük pedig kolumbiai és német kettős állampolgár. Az apa kereső tevékenységet folytatott Nagy Britanniában. 1990-ben a család minden tagja 5 évre kapott tartózkodási engedélyt, ám időközben a férj Kínában tudott csak elhelyezkedni egy német cégnél, miután cége nagy Britanniában csődbe ment. Eközben a család az Egyesült Királyságban vásárolt lakást, a gyereket iskolába jártak, a család szociális segélyt soha nem kért. Az 5 év lejárta után a család minden tagja határozatlan idejű tartózkodási engedélyért folyamodott, amelyet a hatóságok nem adtak meg Baumbast úrnak, arra hivatkozva, hogy mivel ő már nem közösségi munkavállaló, a 90/364/EK irányelv szerint ő már nem jogosult tartózkodási engedélyre. Az Európai bíróságnak azt a kérdést kellett megválaszolnia, hogy az </w:t>
      </w:r>
      <w:proofErr w:type="spellStart"/>
      <w:r>
        <w:rPr>
          <w:rFonts w:ascii="Times New Roman" w:eastAsia="Times New Roman" w:hAnsi="Times New Roman" w:cs="Times New Roman"/>
          <w:sz w:val="24"/>
          <w:szCs w:val="24"/>
          <w:lang w:eastAsia="hu-HU"/>
        </w:rPr>
        <w:t>az</w:t>
      </w:r>
      <w:proofErr w:type="spellEnd"/>
      <w:r>
        <w:rPr>
          <w:rFonts w:ascii="Times New Roman" w:eastAsia="Times New Roman" w:hAnsi="Times New Roman" w:cs="Times New Roman"/>
          <w:sz w:val="24"/>
          <w:szCs w:val="24"/>
          <w:lang w:eastAsia="hu-HU"/>
        </w:rPr>
        <w:t xml:space="preserve"> uniós polgár, aki már nem élvezi a tartózkodás jogát a fogadó államban, mint közösségi munkavállaló, hivatkozhat-e tartózkodási célból közvetlenül a Szerződés 18. cikkére, azaz az uniós polgárság intézményére. </w:t>
      </w:r>
      <w:proofErr w:type="spellStart"/>
      <w:r>
        <w:rPr>
          <w:rFonts w:ascii="Times New Roman" w:eastAsia="Times New Roman" w:hAnsi="Times New Roman" w:cs="Times New Roman"/>
          <w:sz w:val="24"/>
          <w:szCs w:val="24"/>
          <w:lang w:eastAsia="hu-HU"/>
        </w:rPr>
        <w:t>Geelhold</w:t>
      </w:r>
      <w:proofErr w:type="spellEnd"/>
      <w:r>
        <w:rPr>
          <w:rFonts w:ascii="Times New Roman" w:eastAsia="Times New Roman" w:hAnsi="Times New Roman" w:cs="Times New Roman"/>
          <w:sz w:val="24"/>
          <w:szCs w:val="24"/>
          <w:lang w:eastAsia="hu-HU"/>
        </w:rPr>
        <w:t xml:space="preserve"> főtanácsnok, és az Európai Bíróság úgy döntött, hogy a kérdésre a válasz igen, mivel az uniós polgárság bevezetése minden uniós polgárnak megadta a jogot a szabad mozgásra és tartózkodásra a tagállamok területén, és nem követeli meg gazdasági tevékenység végzését ahhoz, hogy a Szerződés II. részében biztosított jogokat élvezhesse. Mindemellett Baumbast úrnak van </w:t>
      </w:r>
      <w:r>
        <w:rPr>
          <w:rFonts w:ascii="Times New Roman" w:eastAsia="Times New Roman" w:hAnsi="Times New Roman" w:cs="Times New Roman"/>
          <w:sz w:val="24"/>
          <w:szCs w:val="24"/>
          <w:lang w:eastAsia="hu-HU"/>
        </w:rPr>
        <w:lastRenderedPageBreak/>
        <w:t>anyagi fedezete, egészségbiztosítása, sem ő, sem családja nem kért szociális segélyt. Mindezek alapján a tartózkodási engedély iránti kérelem elutasítása az arányosság elvébe ütközés miatt sértené az európai közösségi jogot. Az Európai Bíróság tehát úgy döntött, hogy Baumbast úr jogosult tartózkodási engedélyre.</w:t>
      </w:r>
    </w:p>
    <w:p w:rsidR="00172460" w:rsidRPr="00172460" w:rsidRDefault="00172460" w:rsidP="00172460">
      <w:pPr>
        <w:pStyle w:val="Listaszerbekezds"/>
        <w:numPr>
          <w:ilvl w:val="1"/>
          <w:numId w:val="4"/>
        </w:num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Orfanapoulos és Oliveri esetek</w:t>
      </w:r>
    </w:p>
    <w:p w:rsidR="003903D8" w:rsidRPr="00464A32" w:rsidRDefault="00B55DC9" w:rsidP="00464A32">
      <w:pPr>
        <w:shd w:val="clear" w:color="auto" w:fill="FFFFFF"/>
        <w:spacing w:before="100" w:beforeAutospacing="1" w:after="450" w:line="360" w:lineRule="auto"/>
        <w:outlineLvl w:val="2"/>
        <w:rPr>
          <w:rFonts w:ascii="Times New Roman" w:eastAsia="Times New Roman" w:hAnsi="Times New Roman" w:cs="Times New Roman"/>
          <w:sz w:val="24"/>
          <w:szCs w:val="24"/>
          <w:lang w:eastAsia="hu-HU"/>
        </w:rPr>
      </w:pPr>
      <w:r w:rsidRPr="00172460">
        <w:rPr>
          <w:rFonts w:ascii="Times New Roman" w:eastAsia="Times New Roman" w:hAnsi="Times New Roman" w:cs="Times New Roman"/>
          <w:sz w:val="24"/>
          <w:szCs w:val="24"/>
          <w:lang w:eastAsia="hu-HU"/>
        </w:rPr>
        <w:t>Az Orfanapoulos és Oliveri esetekben</w:t>
      </w:r>
      <w:r>
        <w:rPr>
          <w:rFonts w:ascii="Times New Roman" w:eastAsia="Times New Roman" w:hAnsi="Times New Roman" w:cs="Times New Roman"/>
          <w:sz w:val="24"/>
          <w:szCs w:val="24"/>
          <w:lang w:eastAsia="hu-HU"/>
        </w:rPr>
        <w:t>, amelyről 2004-ben döntött a Bíróság, arra kaphatunk választ, hogy meddig terjed a tagállamok kompetenciája a tartózkodási jogtól való megfosztás, vagyis a kiutasítás terén. Orfanapoulos úr görög állampolgár, 20 éve Németországban élő, három gyerekes családapa; dolgozott, de volt munkanélküli is, aki tartózkodása utolsó 10 évében bűncselekményeket követett el, majd kábítószer- és alkoholfüggőségből folyó súlyos bűncselekmények miatt börtönbe került. 2001-ben kiutasították Németországból. Oliveri úr olasz állampolgár, aki Németországban született és mindig is ott élt, de soha nem dolgozott. Szintén kábítószer függőségben szenvedett, több bűncselekmény elkövetése miatt börtönben is volt. Betegségei miatt orvosi igazolással rendelkezett, hogy rövid időn belül elhalálozása várható. Kiutasításuk ellen mindketten fellebbeztek a nemzeti bíróságnál, ahonnan az ügy az Európai Bírósághoz került. A Bíróság a döntéshozatal során az alapelvekhez nyúlt vissza. Rámutatott, hogy a családi élet tiszteletben tartása olyan alapvető követelmény, amely a kiutasítás korlátjaként jelenik meg. A Bíróság kimondta, hogy mindkét személyre a 64/221/EGK irányelv szabályait kell alkalmazni, amelynek 3. cikke egyértelműen kizárja, hogy egy tagállami állampolgár esetében a kiutasítás automatikus következménye legyen egy szándékos bűncselekmény miatt kiszabott letöltendő szabadságvesztésnek. A nemzeti bíróságnak ebben az esetben azt kell megvizsgálni, hogy az érintett személy aktuálisan veszélyt jelent-e a közrendre, a tagállam és az egyén érdekeit mérlegelni kell.</w:t>
      </w:r>
      <w:r>
        <w:rPr>
          <w:rStyle w:val="Lbjegyzet-hivatkozs"/>
          <w:rFonts w:ascii="Times New Roman" w:eastAsia="Times New Roman" w:hAnsi="Times New Roman" w:cs="Times New Roman"/>
          <w:sz w:val="24"/>
          <w:szCs w:val="24"/>
          <w:lang w:eastAsia="hu-HU"/>
        </w:rPr>
        <w:footnoteReference w:id="17"/>
      </w:r>
    </w:p>
    <w:p w:rsidR="009164E6" w:rsidRDefault="009164E6" w:rsidP="00464A32">
      <w:pPr>
        <w:pStyle w:val="Listaszerbekezds"/>
        <w:numPr>
          <w:ilvl w:val="0"/>
          <w:numId w:val="4"/>
        </w:numPr>
        <w:autoSpaceDE w:val="0"/>
        <w:autoSpaceDN w:val="0"/>
        <w:adjustRightInd w:val="0"/>
        <w:spacing w:after="0" w:line="360" w:lineRule="auto"/>
        <w:rPr>
          <w:rFonts w:ascii="Times New Roman" w:hAnsi="Times New Roman" w:cs="Times New Roman"/>
          <w:b/>
          <w:iCs/>
          <w:sz w:val="24"/>
          <w:szCs w:val="24"/>
        </w:rPr>
      </w:pPr>
      <w:r>
        <w:rPr>
          <w:rFonts w:ascii="Times New Roman" w:hAnsi="Times New Roman" w:cs="Times New Roman"/>
          <w:b/>
          <w:iCs/>
          <w:sz w:val="24"/>
          <w:szCs w:val="24"/>
        </w:rPr>
        <w:t>Összegzés, konklúzió</w:t>
      </w:r>
    </w:p>
    <w:p w:rsidR="00464A32" w:rsidRDefault="00464A32" w:rsidP="009164E6">
      <w:pPr>
        <w:pStyle w:val="Listaszerbekezds"/>
        <w:autoSpaceDE w:val="0"/>
        <w:autoSpaceDN w:val="0"/>
        <w:adjustRightInd w:val="0"/>
        <w:spacing w:after="0" w:line="360" w:lineRule="auto"/>
        <w:rPr>
          <w:rFonts w:ascii="Times New Roman" w:hAnsi="Times New Roman" w:cs="Times New Roman"/>
          <w:b/>
          <w:iCs/>
          <w:sz w:val="24"/>
          <w:szCs w:val="24"/>
        </w:rPr>
      </w:pPr>
      <w:r>
        <w:rPr>
          <w:rFonts w:ascii="Times New Roman" w:hAnsi="Times New Roman" w:cs="Times New Roman"/>
          <w:b/>
          <w:iCs/>
          <w:sz w:val="24"/>
          <w:szCs w:val="24"/>
        </w:rPr>
        <w:t>Teljesen megvalósult a szabad mozgás, vagy vannak még korlátozások?</w:t>
      </w:r>
    </w:p>
    <w:p w:rsidR="00464A32" w:rsidRDefault="00464A32" w:rsidP="00464A32">
      <w:pPr>
        <w:autoSpaceDE w:val="0"/>
        <w:autoSpaceDN w:val="0"/>
        <w:adjustRightInd w:val="0"/>
        <w:spacing w:after="0" w:line="360" w:lineRule="auto"/>
        <w:jc w:val="center"/>
        <w:rPr>
          <w:rFonts w:ascii="Times New Roman" w:hAnsi="Times New Roman" w:cs="Times New Roman"/>
          <w:iCs/>
          <w:sz w:val="24"/>
          <w:szCs w:val="24"/>
        </w:rPr>
      </w:pPr>
    </w:p>
    <w:p w:rsidR="00464A32" w:rsidRDefault="00464A32" w:rsidP="00464A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Az Európai Gazdasági Közösséget 1957-ben alapították meg, azonban csak 1968-ban sikerült életbe léptetni a munkaerő szabad mozgására vonatkozó szabályokat, 1974-ben pedig a vállalkozók szabad mozgását biztosító rendelkezéseket. 1990-ben történt továbblépés a nyugdíjasokra, a diákokra és a magukat önerőből eltartókra vonatkozó szabályok </w:t>
      </w:r>
      <w:r>
        <w:rPr>
          <w:rFonts w:ascii="Times New Roman" w:hAnsi="Times New Roman" w:cs="Times New Roman"/>
          <w:sz w:val="24"/>
          <w:szCs w:val="24"/>
        </w:rPr>
        <w:lastRenderedPageBreak/>
        <w:t>megalkotásával, azonban említettük, hogy a rossz anyagi helyzetben lévők még mindig nem mozoghatnak szabadon. Elsőként ez tekinthető korlátnak, nevezetesen, hogy a gyakorlati kivitelezés még nem követte a célkitűzéseket, azaz hiába jogosult minden EU polgár egy másik EU-tagállamban letelepedni, a gyakorlatban csak azok mozoghatnak, akik elő tudják teremteni – legalábbis részben – a megélhetésükhöz szükséges anyagi eszközöket.</w:t>
      </w:r>
    </w:p>
    <w:p w:rsidR="00464A32" w:rsidRDefault="00464A32" w:rsidP="00464A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Vannak azonban ennél sokkal kifejezettebb korlátozások is, mégpedig olyanok, amelyeket az Európai Közösség nem csak alapszerződési szinten, hanem a szervei által kiadott rendeletekben és irányelvekben is szabályoz.</w:t>
      </w:r>
    </w:p>
    <w:p w:rsidR="00464A32" w:rsidRDefault="00464A32" w:rsidP="00464A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Az európai szabályozás megadja azokat az eseteket, amikor a tagállamok nem kötelesek a személyek szabad mozgását biztosítani. Alapvetően két fontos esetet különböztethetünk meg: </w:t>
      </w:r>
      <w:r>
        <w:rPr>
          <w:rFonts w:ascii="Times New Roman" w:hAnsi="Times New Roman" w:cs="Times New Roman"/>
          <w:b/>
          <w:bCs/>
          <w:sz w:val="24"/>
          <w:szCs w:val="24"/>
        </w:rPr>
        <w:t xml:space="preserve">(i) </w:t>
      </w:r>
      <w:r>
        <w:rPr>
          <w:rFonts w:ascii="Times New Roman" w:hAnsi="Times New Roman" w:cs="Times New Roman"/>
          <w:sz w:val="24"/>
          <w:szCs w:val="24"/>
        </w:rPr>
        <w:t xml:space="preserve">a személy belépése vagy ott-tartózkodása a közrend, közbiztonság vagy a közegészségügy tagállami szabályait sérti, illetve </w:t>
      </w:r>
      <w:r>
        <w:rPr>
          <w:rFonts w:ascii="Times New Roman" w:hAnsi="Times New Roman" w:cs="Times New Roman"/>
          <w:b/>
          <w:bCs/>
          <w:sz w:val="24"/>
          <w:szCs w:val="24"/>
        </w:rPr>
        <w:t xml:space="preserve">(ii) </w:t>
      </w:r>
      <w:r>
        <w:rPr>
          <w:rFonts w:ascii="Times New Roman" w:hAnsi="Times New Roman" w:cs="Times New Roman"/>
          <w:sz w:val="24"/>
          <w:szCs w:val="24"/>
        </w:rPr>
        <w:t xml:space="preserve">amikor a tagállamoknak lehetőségük van tiltó szabályok alkalmazására bizonyos foglalkozások esetén, ha azokat a foglalkozásokat csak saját állampolgáraik tölthetik be. Itt különösen olyan területekről van szó, amelyekben a közhatalom gyakorlása kapcsolódik a foglalkozáshoz, azaz a munkavállaló feladata valamely állami feladat vitele. Látható, hogy az első esetben említett megszorítás minden személlyel szemben alkalmazható, míg a második feltétel – értelemszerűen – csak a munkavállalókkal, tehát egy bizonyos személyi kategóriával szemben. </w:t>
      </w:r>
      <w:r>
        <w:rPr>
          <w:rFonts w:ascii="Times New Roman" w:hAnsi="Times New Roman" w:cs="Times New Roman"/>
          <w:b/>
          <w:bCs/>
          <w:sz w:val="24"/>
          <w:szCs w:val="24"/>
        </w:rPr>
        <w:t xml:space="preserve">(i) </w:t>
      </w:r>
      <w:r>
        <w:rPr>
          <w:rFonts w:ascii="Times New Roman" w:hAnsi="Times New Roman" w:cs="Times New Roman"/>
          <w:sz w:val="24"/>
          <w:szCs w:val="24"/>
        </w:rPr>
        <w:t xml:space="preserve">A tagállamoknak különböző általános és konkrét előírásokat kell betartaniuk, ha valamely más tagállam állampolgárának ott-tartózkodását azon az alapon akarják megtiltani, hogy az ő magatartása a közrendbe, közbiztonságba vagy közegészségügybe ütközik. Az általános szabályok elsősorban az egyén vizsgálatára koncentrálnak azért, hogy ne kerülhessen sor kollektív elbírálásra. A konkrét eljárási szabályok pedig a döntést hozó tagállami szerv számára határozzák meg az eljárási feltételek, intézkedési határidők és szankciók alkalmazásának pontos menetét. A kérelmezőnek – többek között – lehetőséget kell biztosítani olyan jogorvoslatra, amelyre a tagállam saját állampolgárai általában jogosultak az államigazgatási eljárás során. Külön részletezik a közegészségügy területén az elutasítás alapjául szolgáló betegségeket. Akkor fogadható el a tagállam részéről a közegészségügyre történő hivatkozás, ha az illető a következő betegségekben szenved: tbc, szifilisz, drogfüggőség, elmeállapot kóros elváltozása, a WHO ajánlásában felsorolt, karantén alkalmazását igénylő betegségek, egyéb fertőző betegségek, ha erre vonatkozóan a tagállam saját polgárai érdekében védelmi rendelkezéseket hozott. </w:t>
      </w:r>
      <w:r>
        <w:rPr>
          <w:rFonts w:ascii="Times New Roman" w:hAnsi="Times New Roman" w:cs="Times New Roman"/>
          <w:b/>
          <w:bCs/>
          <w:sz w:val="24"/>
          <w:szCs w:val="24"/>
        </w:rPr>
        <w:t xml:space="preserve">(ii) </w:t>
      </w:r>
      <w:r>
        <w:rPr>
          <w:rFonts w:ascii="Times New Roman" w:hAnsi="Times New Roman" w:cs="Times New Roman"/>
          <w:sz w:val="24"/>
          <w:szCs w:val="24"/>
        </w:rPr>
        <w:t xml:space="preserve">A másik kivétel, amikor a tagállam nem köteles hozzájárulni adott személy letelepedéséhez, akkor alkalmazható, ha a munkavállaló olyan munkát akar vállalni, amit ő – állampolgársági alapon – nem tölthet be. Olyan munkakörökről van szó, amelyek </w:t>
      </w:r>
      <w:r>
        <w:rPr>
          <w:rFonts w:ascii="Times New Roman" w:hAnsi="Times New Roman" w:cs="Times New Roman"/>
          <w:sz w:val="24"/>
          <w:szCs w:val="24"/>
        </w:rPr>
        <w:lastRenderedPageBreak/>
        <w:t>közszolgálatnak minősülnek, tehát magukban foglalják a közhatalom gyakorlásában való közvetett vagy közvetlen részvételt és az állam vagy más hivatalos szervek általános érdekeinek védelmét. A tagállamnak minden egyes állást meg kell vizsgálnia, hogy a beosztással párosuló hatáskörök megalapozzák-e az állampolgárságon alapuló megkülönböztetés alkalmazását. Az Európai Bíróság azonban felülbírálhatja a tagállam eseti döntését, mint azt már néhányszor meg is tette. Nem lehet ugyanis mindenkit, aki egy állami vagy önkormányzati szervnél dolgozik, a kivétel alá tartozónak tekinteni. A fizikai dolgozók – takarítók, szerelők stb. –, az önkormányzatok által alkalmazott festők és kertészek, a közkórházakban dolgozó nővérek, valamint a nyelvtanárok és a középiskolai tanárok tekintetében pl. nem lehet a közszolgálatra hivatkozni, tehát az állampolgárságon alapuló megkülönböztetés nem indokolt. A központi és helyi közigazgatás vezetői, a köztisztviselők, az önkormányzatok által alkalmazott éjjeliőrök és felügyelők azonban már a közhatalom gyakorlásában érintetteknek minősülnek.</w:t>
      </w:r>
      <w:r w:rsidR="00794EF8">
        <w:rPr>
          <w:rStyle w:val="Lbjegyzet-hivatkozs"/>
          <w:rFonts w:ascii="Times New Roman" w:hAnsi="Times New Roman" w:cs="Times New Roman"/>
          <w:sz w:val="24"/>
          <w:szCs w:val="24"/>
        </w:rPr>
        <w:footnoteReference w:id="18"/>
      </w: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172460" w:rsidRDefault="00172460" w:rsidP="00AE4FDA">
      <w:pPr>
        <w:autoSpaceDE w:val="0"/>
        <w:autoSpaceDN w:val="0"/>
        <w:adjustRightInd w:val="0"/>
        <w:spacing w:after="0" w:line="360" w:lineRule="auto"/>
        <w:rPr>
          <w:rFonts w:ascii="Times New Roman" w:hAnsi="Times New Roman" w:cs="Times New Roman"/>
          <w:sz w:val="24"/>
          <w:szCs w:val="24"/>
        </w:rPr>
      </w:pPr>
    </w:p>
    <w:p w:rsidR="00172460" w:rsidRDefault="00172460" w:rsidP="00AE4FDA">
      <w:pPr>
        <w:autoSpaceDE w:val="0"/>
        <w:autoSpaceDN w:val="0"/>
        <w:adjustRightInd w:val="0"/>
        <w:spacing w:after="0" w:line="360" w:lineRule="auto"/>
        <w:rPr>
          <w:rFonts w:ascii="Times New Roman" w:hAnsi="Times New Roman" w:cs="Times New Roman"/>
          <w:sz w:val="24"/>
          <w:szCs w:val="24"/>
        </w:rPr>
      </w:pPr>
    </w:p>
    <w:p w:rsidR="00172460" w:rsidRDefault="00172460" w:rsidP="00AE4FDA">
      <w:pPr>
        <w:autoSpaceDE w:val="0"/>
        <w:autoSpaceDN w:val="0"/>
        <w:adjustRightInd w:val="0"/>
        <w:spacing w:after="0" w:line="360" w:lineRule="auto"/>
        <w:rPr>
          <w:rFonts w:ascii="Times New Roman" w:hAnsi="Times New Roman" w:cs="Times New Roman"/>
          <w:sz w:val="24"/>
          <w:szCs w:val="24"/>
        </w:rPr>
      </w:pPr>
    </w:p>
    <w:p w:rsidR="00464A32" w:rsidRDefault="00464A32" w:rsidP="00AE4FDA">
      <w:pPr>
        <w:autoSpaceDE w:val="0"/>
        <w:autoSpaceDN w:val="0"/>
        <w:adjustRightInd w:val="0"/>
        <w:spacing w:after="0" w:line="360" w:lineRule="auto"/>
        <w:rPr>
          <w:rFonts w:ascii="Times New Roman" w:hAnsi="Times New Roman" w:cs="Times New Roman"/>
          <w:sz w:val="24"/>
          <w:szCs w:val="24"/>
        </w:rPr>
      </w:pPr>
    </w:p>
    <w:p w:rsidR="00464A32" w:rsidRDefault="00464A32" w:rsidP="00AE4FDA">
      <w:pPr>
        <w:autoSpaceDE w:val="0"/>
        <w:autoSpaceDN w:val="0"/>
        <w:adjustRightInd w:val="0"/>
        <w:spacing w:after="0" w:line="360" w:lineRule="auto"/>
        <w:rPr>
          <w:rFonts w:ascii="Times New Roman" w:hAnsi="Times New Roman" w:cs="Times New Roman"/>
          <w:sz w:val="24"/>
          <w:szCs w:val="24"/>
        </w:rPr>
      </w:pPr>
    </w:p>
    <w:p w:rsidR="00464A32" w:rsidRDefault="00464A32" w:rsidP="00AE4FDA">
      <w:pPr>
        <w:autoSpaceDE w:val="0"/>
        <w:autoSpaceDN w:val="0"/>
        <w:adjustRightInd w:val="0"/>
        <w:spacing w:after="0" w:line="360" w:lineRule="auto"/>
        <w:rPr>
          <w:rFonts w:ascii="Times New Roman" w:hAnsi="Times New Roman" w:cs="Times New Roman"/>
          <w:sz w:val="24"/>
          <w:szCs w:val="24"/>
        </w:rPr>
      </w:pPr>
    </w:p>
    <w:p w:rsidR="00BB0EE6" w:rsidRDefault="00BB0EE6"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AE4FDA">
      <w:pPr>
        <w:autoSpaceDE w:val="0"/>
        <w:autoSpaceDN w:val="0"/>
        <w:adjustRightInd w:val="0"/>
        <w:spacing w:after="0" w:line="360" w:lineRule="auto"/>
        <w:rPr>
          <w:rFonts w:ascii="Times New Roman" w:hAnsi="Times New Roman" w:cs="Times New Roman"/>
          <w:sz w:val="24"/>
          <w:szCs w:val="24"/>
        </w:rPr>
      </w:pPr>
    </w:p>
    <w:p w:rsidR="003903D8" w:rsidRDefault="003903D8" w:rsidP="003903D8">
      <w:pPr>
        <w:jc w:val="center"/>
        <w:rPr>
          <w:rFonts w:ascii="Times New Roman" w:hAnsi="Times New Roman" w:cs="Times New Roman"/>
          <w:b/>
          <w:sz w:val="28"/>
          <w:szCs w:val="28"/>
        </w:rPr>
      </w:pPr>
      <w:r>
        <w:rPr>
          <w:rFonts w:ascii="Times New Roman" w:hAnsi="Times New Roman" w:cs="Times New Roman"/>
          <w:b/>
          <w:sz w:val="28"/>
          <w:szCs w:val="28"/>
        </w:rPr>
        <w:lastRenderedPageBreak/>
        <w:t>Felhasznált irodalom</w:t>
      </w:r>
    </w:p>
    <w:p w:rsidR="003903D8" w:rsidRDefault="003903D8" w:rsidP="003903D8">
      <w:pPr>
        <w:pStyle w:val="Listaszerbekezds"/>
        <w:numPr>
          <w:ilvl w:val="0"/>
          <w:numId w:val="7"/>
        </w:numPr>
        <w:rPr>
          <w:rFonts w:ascii="Times New Roman" w:hAnsi="Times New Roman" w:cs="Times New Roman"/>
          <w:sz w:val="24"/>
          <w:szCs w:val="24"/>
        </w:rPr>
      </w:pPr>
      <w:r>
        <w:rPr>
          <w:rFonts w:ascii="Times New Roman" w:hAnsi="Times New Roman" w:cs="Times New Roman"/>
          <w:sz w:val="24"/>
          <w:szCs w:val="24"/>
        </w:rPr>
        <w:t>Matthias Herdegen: Európai jog, Budapesti Fórum Európáért Alapítvány, I. kötet</w:t>
      </w:r>
    </w:p>
    <w:p w:rsidR="003903D8" w:rsidRDefault="003903D8" w:rsidP="003903D8">
      <w:pPr>
        <w:pStyle w:val="Listaszerbekezds"/>
        <w:numPr>
          <w:ilvl w:val="0"/>
          <w:numId w:val="7"/>
        </w:numPr>
        <w:rPr>
          <w:rFonts w:ascii="Times New Roman" w:hAnsi="Times New Roman" w:cs="Times New Roman"/>
          <w:sz w:val="24"/>
          <w:szCs w:val="24"/>
        </w:rPr>
      </w:pPr>
      <w:bookmarkStart w:id="8" w:name="OLE_LINK6"/>
      <w:bookmarkStart w:id="9" w:name="OLE_LINK5"/>
      <w:r>
        <w:rPr>
          <w:rFonts w:ascii="Times New Roman" w:hAnsi="Times New Roman" w:cs="Times New Roman"/>
          <w:sz w:val="24"/>
          <w:szCs w:val="24"/>
        </w:rPr>
        <w:t>Gyakorlati tudnivalók az Európai Unióról, Kézikönyv kis-és középvállalkozóknak, Második kiadás, Gazdasági és Közlekedési Minisztérium, Budapest, 2003</w:t>
      </w:r>
    </w:p>
    <w:bookmarkEnd w:id="8"/>
    <w:bookmarkEnd w:id="9"/>
    <w:p w:rsidR="003903D8" w:rsidRDefault="003903D8" w:rsidP="003903D8">
      <w:pPr>
        <w:pStyle w:val="Listaszerbekezds"/>
        <w:numPr>
          <w:ilvl w:val="0"/>
          <w:numId w:val="7"/>
        </w:numPr>
        <w:rPr>
          <w:rFonts w:ascii="Times New Roman" w:hAnsi="Times New Roman" w:cs="Times New Roman"/>
          <w:sz w:val="24"/>
          <w:szCs w:val="24"/>
        </w:rPr>
      </w:pPr>
      <w:r>
        <w:rPr>
          <w:rFonts w:ascii="Times New Roman" w:hAnsi="Times New Roman" w:cs="Times New Roman"/>
          <w:sz w:val="24"/>
          <w:szCs w:val="24"/>
        </w:rPr>
        <w:t>Blutman László: Az Európai Unió joga a gyakorlatban, hvg-orac, Lap- és Könyvkiadó Kft., 2010</w:t>
      </w:r>
    </w:p>
    <w:p w:rsidR="003903D8" w:rsidRDefault="003903D8" w:rsidP="003903D8">
      <w:pPr>
        <w:pStyle w:val="Listaszerbekezds"/>
        <w:numPr>
          <w:ilvl w:val="0"/>
          <w:numId w:val="7"/>
        </w:numPr>
        <w:rPr>
          <w:rFonts w:ascii="Times New Roman" w:hAnsi="Times New Roman" w:cs="Times New Roman"/>
          <w:sz w:val="24"/>
          <w:szCs w:val="24"/>
        </w:rPr>
      </w:pPr>
      <w:r>
        <w:rPr>
          <w:rFonts w:ascii="Times New Roman" w:hAnsi="Times New Roman" w:cs="Times New Roman"/>
          <w:sz w:val="24"/>
          <w:szCs w:val="24"/>
        </w:rPr>
        <w:t xml:space="preserve">Várnay Ernő – Papp Mónika: Az Európai Unió joga, Complex Kiadó Jogi és Üzleti Tartalomszolgáltató Kft., 2010  </w:t>
      </w:r>
    </w:p>
    <w:p w:rsidR="008A21BF" w:rsidRPr="008A21BF" w:rsidRDefault="008A21BF" w:rsidP="003903D8">
      <w:pPr>
        <w:pStyle w:val="Listaszerbekezds"/>
        <w:numPr>
          <w:ilvl w:val="0"/>
          <w:numId w:val="7"/>
        </w:numPr>
        <w:rPr>
          <w:rFonts w:ascii="Times New Roman" w:hAnsi="Times New Roman" w:cs="Times New Roman"/>
          <w:sz w:val="24"/>
          <w:szCs w:val="24"/>
        </w:rPr>
      </w:pPr>
      <w:r w:rsidRPr="008A21BF">
        <w:rPr>
          <w:rFonts w:ascii="Times New Roman" w:hAnsi="Times New Roman" w:cs="Times New Roman"/>
          <w:sz w:val="24"/>
          <w:szCs w:val="24"/>
        </w:rPr>
        <w:t>Osztovits András (szerk.): Az Európai Unió alapító szerződéseinek magyarázata, I. kötet, Complex Kiadó Kft., Budapest, 2008</w:t>
      </w:r>
    </w:p>
    <w:p w:rsidR="003903D8" w:rsidRDefault="003903D8" w:rsidP="003903D8">
      <w:pPr>
        <w:pStyle w:val="Listaszerbekezds"/>
        <w:numPr>
          <w:ilvl w:val="0"/>
          <w:numId w:val="7"/>
        </w:numPr>
        <w:rPr>
          <w:rFonts w:ascii="Times New Roman" w:hAnsi="Times New Roman" w:cs="Times New Roman"/>
          <w:sz w:val="24"/>
          <w:szCs w:val="24"/>
        </w:rPr>
      </w:pPr>
      <w:bookmarkStart w:id="10" w:name="OLE_LINK35"/>
      <w:bookmarkStart w:id="11" w:name="OLE_LINK36"/>
      <w:bookmarkStart w:id="12" w:name="OLE_LINK9"/>
      <w:bookmarkStart w:id="13" w:name="OLE_LINK10"/>
      <w:bookmarkStart w:id="14" w:name="OLE_LINK4"/>
      <w:bookmarkStart w:id="15" w:name="OLE_LINK3"/>
      <w:r>
        <w:rPr>
          <w:rFonts w:ascii="Times New Roman" w:hAnsi="Times New Roman" w:cs="Times New Roman"/>
          <w:sz w:val="24"/>
          <w:szCs w:val="24"/>
        </w:rPr>
        <w:t>A személyek szabad mozgása az Európai Unióban, Dr. Lukács Éva kéziratát átdolgozta Dr. Borbély Andrea, Budapest, 2002</w:t>
      </w:r>
    </w:p>
    <w:bookmarkEnd w:id="10"/>
    <w:bookmarkEnd w:id="11"/>
    <w:bookmarkEnd w:id="12"/>
    <w:bookmarkEnd w:id="13"/>
    <w:p w:rsidR="003903D8" w:rsidRDefault="003903D8" w:rsidP="003903D8">
      <w:pPr>
        <w:pStyle w:val="Lbjegyzetszveg"/>
        <w:numPr>
          <w:ilvl w:val="0"/>
          <w:numId w:val="7"/>
        </w:numPr>
        <w:jc w:val="both"/>
        <w:rPr>
          <w:rFonts w:ascii="Times New Roman" w:hAnsi="Times New Roman" w:cs="Times New Roman"/>
          <w:sz w:val="24"/>
          <w:szCs w:val="24"/>
        </w:rPr>
      </w:pPr>
      <w:r>
        <w:rPr>
          <w:rFonts w:ascii="Times New Roman" w:hAnsi="Times New Roman" w:cs="Times New Roman"/>
          <w:sz w:val="24"/>
          <w:szCs w:val="24"/>
        </w:rPr>
        <w:t>Európai parlament hivatalos honlapja</w:t>
      </w:r>
    </w:p>
    <w:p w:rsidR="003903D8" w:rsidRDefault="003903D8" w:rsidP="003903D8">
      <w:pPr>
        <w:pStyle w:val="Lbjegyzetszveg"/>
        <w:numPr>
          <w:ilvl w:val="0"/>
          <w:numId w:val="7"/>
        </w:numPr>
        <w:jc w:val="both"/>
        <w:rPr>
          <w:rFonts w:ascii="Times New Roman" w:hAnsi="Times New Roman" w:cs="Times New Roman"/>
          <w:sz w:val="24"/>
          <w:szCs w:val="24"/>
        </w:rPr>
      </w:pPr>
      <w:r>
        <w:rPr>
          <w:rFonts w:ascii="Times New Roman" w:hAnsi="Times New Roman" w:cs="Times New Roman"/>
          <w:sz w:val="24"/>
          <w:szCs w:val="24"/>
        </w:rPr>
        <w:t>Dr. Gellértné Dr. Lukács Éva: Személyek szabad mozgás az Európai Unióban, Budapest, 2008</w:t>
      </w:r>
    </w:p>
    <w:bookmarkEnd w:id="14"/>
    <w:bookmarkEnd w:id="15"/>
    <w:p w:rsidR="003903D8" w:rsidRDefault="003903D8" w:rsidP="003903D8"/>
    <w:p w:rsidR="003903D8" w:rsidRDefault="003903D8" w:rsidP="003903D8">
      <w:pPr>
        <w:jc w:val="center"/>
        <w:rPr>
          <w:rFonts w:ascii="Times New Roman" w:hAnsi="Times New Roman" w:cs="Times New Roman"/>
          <w:b/>
          <w:sz w:val="24"/>
          <w:szCs w:val="24"/>
        </w:rPr>
      </w:pPr>
    </w:p>
    <w:p w:rsidR="003903D8" w:rsidRDefault="003903D8" w:rsidP="003903D8">
      <w:pPr>
        <w:jc w:val="center"/>
        <w:rPr>
          <w:rFonts w:ascii="Times New Roman" w:hAnsi="Times New Roman" w:cs="Times New Roman"/>
          <w:b/>
          <w:sz w:val="28"/>
          <w:szCs w:val="28"/>
        </w:rPr>
      </w:pPr>
      <w:r>
        <w:rPr>
          <w:rFonts w:ascii="Times New Roman" w:hAnsi="Times New Roman" w:cs="Times New Roman"/>
          <w:b/>
          <w:sz w:val="28"/>
          <w:szCs w:val="28"/>
        </w:rPr>
        <w:t>Internetes forráshelyek</w:t>
      </w:r>
    </w:p>
    <w:p w:rsidR="003903D8" w:rsidRPr="00BB0EE6" w:rsidRDefault="00775B28" w:rsidP="003903D8">
      <w:pPr>
        <w:pStyle w:val="Listaszerbekezds"/>
        <w:numPr>
          <w:ilvl w:val="0"/>
          <w:numId w:val="8"/>
        </w:numPr>
      </w:pPr>
      <w:hyperlink r:id="rId8" w:history="1">
        <w:r w:rsidR="003903D8" w:rsidRPr="00BB0EE6">
          <w:rPr>
            <w:rStyle w:val="Hiperhivatkozs"/>
            <w:color w:val="auto"/>
          </w:rPr>
          <w:t>http://www.europarl.europa.eu/meetdocs/2004_2009/documents/dt/571/571873/571873hu.pdf</w:t>
        </w:r>
      </w:hyperlink>
    </w:p>
    <w:p w:rsidR="003903D8" w:rsidRPr="00BB0EE6" w:rsidRDefault="00775B28" w:rsidP="003903D8">
      <w:pPr>
        <w:pStyle w:val="Listaszerbekezds"/>
        <w:numPr>
          <w:ilvl w:val="0"/>
          <w:numId w:val="8"/>
        </w:numPr>
      </w:pPr>
      <w:hyperlink r:id="rId9" w:history="1">
        <w:r w:rsidR="003903D8" w:rsidRPr="00BB0EE6">
          <w:rPr>
            <w:rStyle w:val="Hiperhivatkozs"/>
            <w:color w:val="auto"/>
          </w:rPr>
          <w:t>http://www.irm.gov.hu/i/irm.gov.hu/files//downloads/Fooldal/Szakmai_munka/Europai_Unios_Ugyek/Archivum/finalsegedletmunka.pdf</w:t>
        </w:r>
      </w:hyperlink>
    </w:p>
    <w:p w:rsidR="003903D8" w:rsidRPr="00BB0EE6" w:rsidRDefault="00775B28" w:rsidP="003903D8">
      <w:pPr>
        <w:pStyle w:val="Listaszerbekezds"/>
        <w:numPr>
          <w:ilvl w:val="0"/>
          <w:numId w:val="8"/>
        </w:numPr>
      </w:pPr>
      <w:hyperlink r:id="rId10" w:history="1">
        <w:r w:rsidR="003903D8" w:rsidRPr="00BB0EE6">
          <w:rPr>
            <w:rStyle w:val="Hiperhivatkozs"/>
            <w:color w:val="auto"/>
          </w:rPr>
          <w:t>http://webcache.googleusercontent.com/search?q=cache:7WAghtqbfZsJ:www.euvonal.hu/index.php%3Fop%3Dkozossegi_politikak%26id%3D14+szem%C3%A9lyek+szabad+mozg%C3%A1sa&amp;cd=1&amp;hl=hu&amp;ct=clnk&amp;gl=hu</w:t>
        </w:r>
      </w:hyperlink>
    </w:p>
    <w:p w:rsidR="003903D8" w:rsidRPr="00BB0EE6" w:rsidRDefault="00775B28" w:rsidP="003903D8">
      <w:pPr>
        <w:pStyle w:val="Listaszerbekezds"/>
        <w:numPr>
          <w:ilvl w:val="0"/>
          <w:numId w:val="8"/>
        </w:numPr>
      </w:pPr>
      <w:hyperlink r:id="rId11" w:history="1">
        <w:r w:rsidR="003903D8" w:rsidRPr="00BB0EE6">
          <w:rPr>
            <w:rStyle w:val="Hiperhivatkozs"/>
            <w:color w:val="auto"/>
          </w:rPr>
          <w:t>http://docs.google.com/viewer?a=v&amp;q=cache:ePGkUj2iQB4J:www.bmeip.hu/download/engemiserint/Szemelyek%2520szabad%2520mozgasa.pdf+szem%C3%A9lyek+szabad+mozg%C3%A1sa&amp;hl=hu&amp;gl=hu&amp;pid=bl&amp;srcid=ADGEESgX63mXjhfqE_D6ltdu_2-nTdZCyc8VLcdIiUm2-CwLdvwxTh7kYcx6midqqojS-0bMoP56cqj68x4ENSu2exgW166QpRxol1_CgYBn8ecXPoJnx2RXlf4gxomkEJQSr2L1mR3y&amp;sig=AHIEtbTMjgh4jcP_aDFvR-psajK2EkOtSQ</w:t>
        </w:r>
      </w:hyperlink>
    </w:p>
    <w:p w:rsidR="003903D8" w:rsidRPr="00BB0EE6" w:rsidRDefault="003903D8" w:rsidP="003903D8">
      <w:pPr>
        <w:pStyle w:val="Lbjegyzetszveg"/>
        <w:numPr>
          <w:ilvl w:val="0"/>
          <w:numId w:val="8"/>
        </w:numPr>
        <w:rPr>
          <w:rFonts w:ascii="Times New Roman" w:hAnsi="Times New Roman" w:cs="Times New Roman"/>
          <w:sz w:val="24"/>
          <w:szCs w:val="24"/>
        </w:rPr>
      </w:pPr>
      <w:r w:rsidRPr="00BB0EE6">
        <w:rPr>
          <w:rFonts w:ascii="Times New Roman" w:hAnsi="Times New Roman" w:cs="Times New Roman"/>
          <w:sz w:val="24"/>
          <w:szCs w:val="24"/>
        </w:rPr>
        <w:t>(</w:t>
      </w:r>
      <w:hyperlink r:id="rId12" w:history="1">
        <w:r w:rsidRPr="00BB0EE6">
          <w:rPr>
            <w:rStyle w:val="Hiperhivatkozs"/>
            <w:rFonts w:ascii="Times New Roman" w:hAnsi="Times New Roman" w:cs="Times New Roman"/>
            <w:color w:val="auto"/>
            <w:sz w:val="24"/>
            <w:szCs w:val="24"/>
          </w:rPr>
          <w:t>http://fppti.hu/szakteruletek/szakkepzes/leonardo/jogaink/magyar%20jogi/201/1.htm</w:t>
        </w:r>
      </w:hyperlink>
      <w:r w:rsidRPr="00BB0EE6">
        <w:rPr>
          <w:rFonts w:ascii="Times New Roman" w:hAnsi="Times New Roman" w:cs="Times New Roman"/>
          <w:sz w:val="24"/>
          <w:szCs w:val="24"/>
        </w:rPr>
        <w:t xml:space="preserve">) </w:t>
      </w:r>
    </w:p>
    <w:p w:rsidR="003903D8" w:rsidRPr="00BB0EE6" w:rsidRDefault="00775B28" w:rsidP="003903D8">
      <w:pPr>
        <w:pStyle w:val="Listaszerbekezds"/>
        <w:numPr>
          <w:ilvl w:val="0"/>
          <w:numId w:val="8"/>
        </w:numPr>
      </w:pPr>
      <w:hyperlink r:id="rId13" w:history="1">
        <w:r w:rsidR="003903D8" w:rsidRPr="00BB0EE6">
          <w:rPr>
            <w:rStyle w:val="Hiperhivatkozs"/>
            <w:color w:val="auto"/>
          </w:rPr>
          <w:t>http://www.biztositas.hu/Hirek-Informaciok/Biztositasi-szemle/2006-aprilis/Amit-az-EU-gazdasagi-es-penzugyi-politikairol-tudni-kell.html</w:t>
        </w:r>
      </w:hyperlink>
    </w:p>
    <w:p w:rsidR="003903D8" w:rsidRDefault="003903D8" w:rsidP="00464A32">
      <w:pPr>
        <w:pStyle w:val="Listaszerbekezds"/>
      </w:pPr>
    </w:p>
    <w:p w:rsidR="003903D8" w:rsidRPr="00803BD1" w:rsidRDefault="003903D8" w:rsidP="00AE4FDA">
      <w:pPr>
        <w:autoSpaceDE w:val="0"/>
        <w:autoSpaceDN w:val="0"/>
        <w:adjustRightInd w:val="0"/>
        <w:spacing w:after="0" w:line="360" w:lineRule="auto"/>
        <w:rPr>
          <w:rFonts w:ascii="Times New Roman" w:hAnsi="Times New Roman" w:cs="Times New Roman"/>
          <w:sz w:val="24"/>
          <w:szCs w:val="24"/>
        </w:rPr>
      </w:pPr>
    </w:p>
    <w:sectPr w:rsidR="003903D8" w:rsidRPr="00803BD1" w:rsidSect="00C369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67" w:rsidRDefault="00C57E67" w:rsidP="0006458C">
      <w:pPr>
        <w:spacing w:after="0" w:line="240" w:lineRule="auto"/>
      </w:pPr>
      <w:r>
        <w:separator/>
      </w:r>
    </w:p>
  </w:endnote>
  <w:endnote w:type="continuationSeparator" w:id="0">
    <w:p w:rsidR="00C57E67" w:rsidRDefault="00C57E67" w:rsidP="0006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67" w:rsidRDefault="00C57E67" w:rsidP="0006458C">
      <w:pPr>
        <w:spacing w:after="0" w:line="240" w:lineRule="auto"/>
      </w:pPr>
      <w:r>
        <w:separator/>
      </w:r>
    </w:p>
  </w:footnote>
  <w:footnote w:type="continuationSeparator" w:id="0">
    <w:p w:rsidR="00C57E67" w:rsidRDefault="00C57E67" w:rsidP="0006458C">
      <w:pPr>
        <w:spacing w:after="0" w:line="240" w:lineRule="auto"/>
      </w:pPr>
      <w:r>
        <w:continuationSeparator/>
      </w:r>
    </w:p>
  </w:footnote>
  <w:footnote w:id="1">
    <w:p w:rsidR="00675F35" w:rsidRPr="00675F35" w:rsidRDefault="00675F35" w:rsidP="00675F35">
      <w:pPr>
        <w:rPr>
          <w:rFonts w:ascii="Times New Roman" w:hAnsi="Times New Roman" w:cs="Times New Roman"/>
          <w:sz w:val="20"/>
          <w:szCs w:val="20"/>
        </w:rPr>
      </w:pPr>
      <w:r w:rsidRPr="00675F35">
        <w:rPr>
          <w:rStyle w:val="Lbjegyzet-hivatkozs"/>
          <w:rFonts w:ascii="Times New Roman" w:hAnsi="Times New Roman" w:cs="Times New Roman"/>
          <w:sz w:val="20"/>
          <w:szCs w:val="20"/>
        </w:rPr>
        <w:footnoteRef/>
      </w:r>
      <w:r w:rsidRPr="00675F35">
        <w:rPr>
          <w:rFonts w:ascii="Times New Roman" w:hAnsi="Times New Roman" w:cs="Times New Roman"/>
          <w:sz w:val="20"/>
          <w:szCs w:val="20"/>
        </w:rPr>
        <w:t xml:space="preserve"> A személyek szabad mozgása az Európai Unióban, Dr. Lukács Éva kéziratát átdolgozta Dr. Borbély Andrea, Budapest, 2002</w:t>
      </w:r>
    </w:p>
    <w:p w:rsidR="00675F35" w:rsidRDefault="00675F35">
      <w:pPr>
        <w:pStyle w:val="Lbjegyzetszveg"/>
      </w:pPr>
    </w:p>
  </w:footnote>
  <w:footnote w:id="2">
    <w:p w:rsidR="00A05E6A" w:rsidRPr="00A05E6A" w:rsidRDefault="00A05E6A" w:rsidP="00A05E6A">
      <w:pPr>
        <w:pStyle w:val="Nincstrkz"/>
        <w:rPr>
          <w:rFonts w:ascii="Times New Roman" w:hAnsi="Times New Roman" w:cs="Times New Roman"/>
          <w:sz w:val="20"/>
          <w:szCs w:val="20"/>
        </w:rPr>
      </w:pPr>
      <w:r w:rsidRPr="00A05E6A">
        <w:rPr>
          <w:rStyle w:val="Lbjegyzet-hivatkozs"/>
          <w:rFonts w:ascii="Times New Roman" w:hAnsi="Times New Roman" w:cs="Times New Roman"/>
          <w:sz w:val="20"/>
          <w:szCs w:val="20"/>
        </w:rPr>
        <w:footnoteRef/>
      </w:r>
      <w:r w:rsidRPr="00A05E6A">
        <w:rPr>
          <w:rFonts w:ascii="Times New Roman" w:hAnsi="Times New Roman" w:cs="Times New Roman"/>
          <w:sz w:val="20"/>
          <w:szCs w:val="20"/>
        </w:rPr>
        <w:t xml:space="preserve"> Gyakorlati tudnivalók az Európai Unióról, Kézikönyv kis-és középvállalkozóknak, Második kiadás, Gazdasági és Közlekedési Minisztérium, Budapest, 2003, 65. oldal</w:t>
      </w:r>
    </w:p>
  </w:footnote>
  <w:footnote w:id="3">
    <w:p w:rsidR="008A21BF" w:rsidRDefault="008A21BF">
      <w:pPr>
        <w:pStyle w:val="Lbjegyzetszveg"/>
      </w:pPr>
      <w:r>
        <w:rPr>
          <w:rStyle w:val="Lbjegyzet-hivatkozs"/>
        </w:rPr>
        <w:footnoteRef/>
      </w:r>
      <w:r>
        <w:t xml:space="preserve"> </w:t>
      </w:r>
      <w:bookmarkStart w:id="2" w:name="OLE_LINK7"/>
      <w:bookmarkStart w:id="3" w:name="OLE_LINK8"/>
      <w:r>
        <w:t xml:space="preserve">Osztovits András (szerk.): Az Európai </w:t>
      </w:r>
      <w:proofErr w:type="gramStart"/>
      <w:r>
        <w:t>Unió alapító</w:t>
      </w:r>
      <w:proofErr w:type="gramEnd"/>
      <w:r>
        <w:t xml:space="preserve"> szerződéseinek magyarázata, I. kötet, Complex Kiadó Kft., Budapest, 2008</w:t>
      </w:r>
      <w:bookmarkEnd w:id="2"/>
      <w:bookmarkEnd w:id="3"/>
    </w:p>
  </w:footnote>
  <w:footnote w:id="4">
    <w:p w:rsidR="00A05E6A" w:rsidRDefault="00A05E6A">
      <w:pPr>
        <w:pStyle w:val="Lbjegyzetszveg"/>
      </w:pPr>
      <w:r>
        <w:rPr>
          <w:rStyle w:val="Lbjegyzet-hivatkozs"/>
        </w:rPr>
        <w:footnoteRef/>
      </w:r>
      <w:r>
        <w:t xml:space="preserve"> </w:t>
      </w:r>
      <w:hyperlink r:id="rId1" w:history="1">
        <w:r w:rsidRPr="00A05E6A">
          <w:rPr>
            <w:rStyle w:val="Hiperhivatkozs"/>
            <w:rFonts w:cstheme="minorHAnsi"/>
            <w:color w:val="auto"/>
          </w:rPr>
          <w:t>http://www.europarl.europa.eu/meetdocs/2004_2009/documents/dt/571/571873/571873hu.pdf</w:t>
        </w:r>
      </w:hyperlink>
    </w:p>
  </w:footnote>
  <w:footnote w:id="5">
    <w:p w:rsidR="006F6AE7" w:rsidRDefault="006F6AE7">
      <w:pPr>
        <w:pStyle w:val="Lbjegyzetszveg"/>
      </w:pPr>
      <w:r>
        <w:rPr>
          <w:rStyle w:val="Lbjegyzet-hivatkozs"/>
        </w:rPr>
        <w:footnoteRef/>
      </w:r>
      <w:r>
        <w:t xml:space="preserve"> </w:t>
      </w:r>
      <w:bookmarkStart w:id="4" w:name="OLE_LINK26"/>
      <w:bookmarkStart w:id="5" w:name="OLE_LINK25"/>
      <w:r>
        <w:rPr>
          <w:rFonts w:ascii="Times New Roman" w:hAnsi="Times New Roman" w:cs="Times New Roman"/>
        </w:rPr>
        <w:t>Gyakorlati tudnivalók az Európai Unióról, Kézikönyv kis-és középvállalkozóknak, Második kiadás, Gazdasági és Közlekedési Minisztérium, Budapest, 2003, 65. oldal</w:t>
      </w:r>
      <w:bookmarkEnd w:id="4"/>
      <w:bookmarkEnd w:id="5"/>
    </w:p>
  </w:footnote>
  <w:footnote w:id="6">
    <w:p w:rsidR="00F40D5B" w:rsidRDefault="00F40D5B" w:rsidP="00F40D5B">
      <w:pPr>
        <w:pStyle w:val="Nincstrkz"/>
        <w:rPr>
          <w:rFonts w:ascii="Times New Roman" w:hAnsi="Times New Roman" w:cs="Times New Roman"/>
          <w:sz w:val="20"/>
          <w:szCs w:val="20"/>
        </w:rPr>
      </w:pPr>
      <w:r>
        <w:rPr>
          <w:rStyle w:val="Lbjegyzet-hivatkozs"/>
        </w:rPr>
        <w:footnoteRef/>
      </w:r>
      <w:r>
        <w:t xml:space="preserve"> </w:t>
      </w:r>
      <w:r w:rsidR="006F6AE7">
        <w:t>Blutman László: Az Európai Unió joga a gyakorlatban, hvg-orac, Lap-és Könyvkiadó Kft., 2010, 560. oldal</w:t>
      </w:r>
    </w:p>
    <w:p w:rsidR="00F40D5B" w:rsidRDefault="00F40D5B">
      <w:pPr>
        <w:pStyle w:val="Lbjegyzetszveg"/>
      </w:pPr>
    </w:p>
  </w:footnote>
  <w:footnote w:id="7">
    <w:p w:rsidR="003F18F2" w:rsidRDefault="003F18F2">
      <w:pPr>
        <w:pStyle w:val="Lbjegyzetszveg"/>
      </w:pPr>
      <w:r>
        <w:rPr>
          <w:rStyle w:val="Lbjegyzet-hivatkozs"/>
        </w:rPr>
        <w:footnoteRef/>
      </w:r>
      <w:r>
        <w:t xml:space="preserve"> </w:t>
      </w:r>
      <w:r w:rsidR="00BD18B6">
        <w:rPr>
          <w:rFonts w:ascii="Times New Roman" w:hAnsi="Times New Roman" w:cs="Times New Roman"/>
        </w:rPr>
        <w:t>Gyakorlati tudnivalók az Európai Unióról, Kézikönyv kis-és középvállalkozóknak, Második kiadás, Gazdasági és Közlekedési Minisztérium, Budapest, 2003, 64. oldal</w:t>
      </w:r>
    </w:p>
  </w:footnote>
  <w:footnote w:id="8">
    <w:p w:rsidR="006D4AC0" w:rsidRDefault="006D4AC0">
      <w:pPr>
        <w:pStyle w:val="Lbjegyzetszveg"/>
      </w:pPr>
      <w:r>
        <w:rPr>
          <w:rStyle w:val="Lbjegyzet-hivatkozs"/>
        </w:rPr>
        <w:footnoteRef/>
      </w:r>
      <w:r>
        <w:t xml:space="preserve"> </w:t>
      </w:r>
      <w:hyperlink r:id="rId2" w:history="1">
        <w:r w:rsidRPr="00DD30D8">
          <w:rPr>
            <w:rStyle w:val="Hiperhivatkozs"/>
            <w:rFonts w:cstheme="minorHAnsi"/>
            <w:color w:val="auto"/>
          </w:rPr>
          <w:t>http://www.euvonal.hu/index.php?op=kozossegi_politikak&amp;id=14</w:t>
        </w:r>
      </w:hyperlink>
      <w:r>
        <w:t xml:space="preserve"> </w:t>
      </w:r>
    </w:p>
  </w:footnote>
  <w:footnote w:id="9">
    <w:p w:rsidR="006D4AC0" w:rsidRPr="006D4AC0" w:rsidRDefault="006D4AC0" w:rsidP="006D4AC0">
      <w:pPr>
        <w:rPr>
          <w:rFonts w:ascii="Times New Roman" w:hAnsi="Times New Roman" w:cs="Times New Roman"/>
          <w:sz w:val="20"/>
          <w:szCs w:val="20"/>
        </w:rPr>
      </w:pPr>
      <w:r w:rsidRPr="006D4AC0">
        <w:rPr>
          <w:rStyle w:val="Lbjegyzet-hivatkozs"/>
          <w:rFonts w:ascii="Times New Roman" w:hAnsi="Times New Roman" w:cs="Times New Roman"/>
          <w:sz w:val="20"/>
          <w:szCs w:val="20"/>
        </w:rPr>
        <w:footnoteRef/>
      </w:r>
      <w:r w:rsidRPr="006D4AC0">
        <w:rPr>
          <w:rFonts w:ascii="Times New Roman" w:hAnsi="Times New Roman" w:cs="Times New Roman"/>
          <w:sz w:val="20"/>
          <w:szCs w:val="20"/>
        </w:rPr>
        <w:t xml:space="preserve"> A személyek szabad mozgása az Európai Unióban, Dr. Lukács Éva kéziratát átdolgozta Dr. Borbély Andrea, Budapest, 2002</w:t>
      </w:r>
      <w:r>
        <w:rPr>
          <w:rFonts w:ascii="Times New Roman" w:hAnsi="Times New Roman" w:cs="Times New Roman"/>
          <w:sz w:val="20"/>
          <w:szCs w:val="20"/>
        </w:rPr>
        <w:t>, 4. oldal</w:t>
      </w:r>
    </w:p>
    <w:p w:rsidR="006D4AC0" w:rsidRDefault="006D4AC0">
      <w:pPr>
        <w:pStyle w:val="Lbjegyzetszveg"/>
      </w:pPr>
    </w:p>
  </w:footnote>
  <w:footnote w:id="10">
    <w:p w:rsidR="006D4AC0" w:rsidRDefault="006D4AC0">
      <w:pPr>
        <w:pStyle w:val="Lbjegyzetszveg"/>
      </w:pPr>
      <w:r>
        <w:rPr>
          <w:rStyle w:val="Lbjegyzet-hivatkozs"/>
        </w:rPr>
        <w:footnoteRef/>
      </w:r>
      <w:r>
        <w:t xml:space="preserve"> </w:t>
      </w:r>
      <w:hyperlink r:id="rId3" w:history="1">
        <w:r w:rsidRPr="00DD30D8">
          <w:rPr>
            <w:rStyle w:val="Hiperhivatkozs"/>
            <w:rFonts w:cstheme="minorHAnsi"/>
            <w:color w:val="auto"/>
          </w:rPr>
          <w:t>http://www.euvonal.hu/index.php?op=kozossegi_politikak&amp;id=14</w:t>
        </w:r>
      </w:hyperlink>
      <w:r>
        <w:t xml:space="preserve"> </w:t>
      </w:r>
    </w:p>
  </w:footnote>
  <w:footnote w:id="11">
    <w:p w:rsidR="006C37BE" w:rsidRDefault="006C37BE">
      <w:pPr>
        <w:pStyle w:val="Lbjegyzetszveg"/>
      </w:pPr>
      <w:r>
        <w:rPr>
          <w:rStyle w:val="Lbjegyzet-hivatkozs"/>
        </w:rPr>
        <w:footnoteRef/>
      </w:r>
      <w:r>
        <w:t xml:space="preserve"> Blutman László: Az Európai Unió joga a gyakorlatban, hvg-orac, Lap-és Könyvk</w:t>
      </w:r>
      <w:r w:rsidR="00DD30D8">
        <w:t>i</w:t>
      </w:r>
      <w:r>
        <w:t>adó Kft., 2010, 562. oldal</w:t>
      </w:r>
    </w:p>
  </w:footnote>
  <w:footnote w:id="12">
    <w:p w:rsidR="006C66FB" w:rsidRDefault="006C66FB">
      <w:pPr>
        <w:pStyle w:val="Lbjegyzetszveg"/>
      </w:pPr>
      <w:r>
        <w:rPr>
          <w:rStyle w:val="Lbjegyzet-hivatkozs"/>
        </w:rPr>
        <w:footnoteRef/>
      </w:r>
      <w:r>
        <w:t xml:space="preserve"> Várnay Ernő-Papp Mónika: Az Európai Unió joga, Complex Kiadó Jogi és Üzleti Tartalomszolgáltató Kft., 2010, 278-280. oldal</w:t>
      </w:r>
    </w:p>
  </w:footnote>
  <w:footnote w:id="13">
    <w:p w:rsidR="00180DAA" w:rsidRPr="00BB0EE6" w:rsidRDefault="00180DAA">
      <w:pPr>
        <w:pStyle w:val="Lbjegyzetszveg"/>
        <w:rPr>
          <w:rFonts w:cstheme="minorHAnsi"/>
        </w:rPr>
      </w:pPr>
      <w:r w:rsidRPr="00BB0EE6">
        <w:rPr>
          <w:rStyle w:val="Lbjegyzet-hivatkozs"/>
          <w:rFonts w:cstheme="minorHAnsi"/>
        </w:rPr>
        <w:footnoteRef/>
      </w:r>
      <w:hyperlink r:id="rId4" w:history="1">
        <w:r w:rsidRPr="00BB0EE6">
          <w:rPr>
            <w:rStyle w:val="Hiperhivatkozs"/>
            <w:rFonts w:cstheme="minorHAnsi"/>
            <w:color w:val="auto"/>
          </w:rPr>
          <w:t>http://eur-lex.europa.eu/LexUriServ/LexUriServ.do?uri=CELEX:62002C0456:HU:HTML</w:t>
        </w:r>
      </w:hyperlink>
      <w:r w:rsidRPr="00BB0EE6">
        <w:rPr>
          <w:rFonts w:cstheme="minorHAnsi"/>
        </w:rPr>
        <w:t xml:space="preserve"> </w:t>
      </w:r>
    </w:p>
  </w:footnote>
  <w:footnote w:id="14">
    <w:p w:rsidR="00180DAA" w:rsidRPr="00BB0EE6" w:rsidRDefault="00180DAA" w:rsidP="00180DAA">
      <w:pPr>
        <w:pStyle w:val="Lbjegyzetszveg"/>
        <w:rPr>
          <w:rFonts w:cstheme="minorHAnsi"/>
        </w:rPr>
      </w:pPr>
      <w:r w:rsidRPr="00BB0EE6">
        <w:rPr>
          <w:rStyle w:val="Lbjegyzet-hivatkozs"/>
          <w:rFonts w:cstheme="minorHAnsi"/>
        </w:rPr>
        <w:footnoteRef/>
      </w:r>
      <w:hyperlink r:id="rId5" w:history="1">
        <w:r w:rsidRPr="00BB0EE6">
          <w:rPr>
            <w:rStyle w:val="Hiperhivatkozs"/>
            <w:rFonts w:cstheme="minorHAnsi"/>
            <w:color w:val="auto"/>
          </w:rPr>
          <w:t>http://www.biztositas.hu/Hirek-Informaciok/Biztositasi-szemle/2006-aprilis/Amit-az-EU-gazdasagi-es-penzugyi-politikairol-tudni-kell.html</w:t>
        </w:r>
      </w:hyperlink>
    </w:p>
  </w:footnote>
  <w:footnote w:id="15">
    <w:p w:rsidR="00803BD1" w:rsidRPr="00BB0EE6" w:rsidRDefault="00803BD1">
      <w:pPr>
        <w:pStyle w:val="Lbjegyzetszveg"/>
        <w:rPr>
          <w:rFonts w:cstheme="minorHAnsi"/>
        </w:rPr>
      </w:pPr>
      <w:r w:rsidRPr="00BB0EE6">
        <w:rPr>
          <w:rStyle w:val="Lbjegyzet-hivatkozs"/>
          <w:rFonts w:cstheme="minorHAnsi"/>
        </w:rPr>
        <w:footnoteRef/>
      </w:r>
      <w:r w:rsidRPr="00BB0EE6">
        <w:rPr>
          <w:rFonts w:cstheme="minorHAnsi"/>
        </w:rPr>
        <w:t xml:space="preserve"> </w:t>
      </w:r>
      <w:hyperlink r:id="rId6" w:history="1">
        <w:r w:rsidRPr="00BB0EE6">
          <w:rPr>
            <w:rStyle w:val="Hiperhivatkozs"/>
            <w:rFonts w:cstheme="minorHAnsi"/>
            <w:color w:val="auto"/>
          </w:rPr>
          <w:t>http://www.biztositas.hu/Hirek-Informaciok/Biztositasi-szemle/2006-aprilis/Amit-az-EU-gazdasagi-es-penzugyi-politikairol-tudni-kell.html</w:t>
        </w:r>
      </w:hyperlink>
    </w:p>
    <w:p w:rsidR="00803BD1" w:rsidRDefault="00803BD1">
      <w:pPr>
        <w:pStyle w:val="Lbjegyzetszveg"/>
      </w:pPr>
    </w:p>
  </w:footnote>
  <w:footnote w:id="16">
    <w:p w:rsidR="00794EF8" w:rsidRPr="00794EF8" w:rsidRDefault="00794EF8">
      <w:pPr>
        <w:pStyle w:val="Lbjegyzetszveg"/>
        <w:rPr>
          <w:rFonts w:ascii="Times New Roman" w:hAnsi="Times New Roman" w:cstheme="minorHAnsi"/>
        </w:rPr>
      </w:pPr>
      <w:r w:rsidRPr="00794EF8">
        <w:rPr>
          <w:rStyle w:val="Lbjegyzet-hivatkozs"/>
          <w:rFonts w:ascii="Times New Roman" w:hAnsi="Times New Roman" w:cstheme="minorHAnsi"/>
        </w:rPr>
        <w:footnoteRef/>
      </w:r>
      <w:r w:rsidRPr="00794EF8">
        <w:rPr>
          <w:rFonts w:ascii="Times New Roman" w:hAnsi="Times New Roman" w:cstheme="minorHAnsi"/>
        </w:rPr>
        <w:t xml:space="preserve"> </w:t>
      </w:r>
      <w:hyperlink r:id="rId7" w:history="1">
        <w:r w:rsidRPr="00794EF8">
          <w:rPr>
            <w:rStyle w:val="Hiperhivatkozs"/>
            <w:rFonts w:ascii="Times New Roman" w:hAnsi="Times New Roman" w:cstheme="minorHAnsi"/>
            <w:color w:val="auto"/>
          </w:rPr>
          <w:t>http://www.biztositas.hu/Hirek-Informaciok/Biztositasi-szemle/2006-aprilis/Amit-az-EU-gazdasagi-es-penzugyi-politikairol-tudni-kell.html</w:t>
        </w:r>
      </w:hyperlink>
    </w:p>
    <w:p w:rsidR="00794EF8" w:rsidRDefault="00794EF8">
      <w:pPr>
        <w:pStyle w:val="Lbjegyzetszveg"/>
      </w:pPr>
    </w:p>
  </w:footnote>
  <w:footnote w:id="17">
    <w:p w:rsidR="00B55DC9" w:rsidRDefault="00B55DC9">
      <w:pPr>
        <w:pStyle w:val="Lbjegyzetszveg"/>
      </w:pPr>
      <w:r>
        <w:rPr>
          <w:rStyle w:val="Lbjegyzet-hivatkozs"/>
        </w:rPr>
        <w:footnoteRef/>
      </w:r>
      <w:r>
        <w:t xml:space="preserve"> </w:t>
      </w:r>
      <w:bookmarkStart w:id="6" w:name="OLE_LINK28"/>
      <w:bookmarkStart w:id="7" w:name="OLE_LINK27"/>
      <w:r w:rsidR="00172460">
        <w:t xml:space="preserve">Dr. Gellértné Dr. Lukács Éva: Személyek szabad mozgás az Európai Unióban </w:t>
      </w:r>
      <w:bookmarkEnd w:id="6"/>
      <w:bookmarkEnd w:id="7"/>
      <w:r w:rsidR="00172460">
        <w:t>(Tullius kiadó, Budapest, 2008.)  VI. fejezet: Uniós polgárság és szabad mozgás; Uniós polgárság: egy új vezérelv szárnypróbálgatásai 161. o.</w:t>
      </w:r>
    </w:p>
  </w:footnote>
  <w:footnote w:id="18">
    <w:p w:rsidR="00794EF8" w:rsidRPr="00794EF8" w:rsidRDefault="00794EF8" w:rsidP="00794EF8">
      <w:pPr>
        <w:rPr>
          <w:rFonts w:ascii="Times New Roman" w:hAnsi="Times New Roman" w:cs="Times New Roman"/>
          <w:sz w:val="20"/>
          <w:szCs w:val="20"/>
        </w:rPr>
      </w:pPr>
      <w:r w:rsidRPr="00794EF8">
        <w:rPr>
          <w:rStyle w:val="Lbjegyzet-hivatkozs"/>
          <w:rFonts w:ascii="Times New Roman" w:hAnsi="Times New Roman" w:cs="Times New Roman"/>
          <w:sz w:val="20"/>
          <w:szCs w:val="20"/>
        </w:rPr>
        <w:footnoteRef/>
      </w:r>
      <w:r w:rsidRPr="00794EF8">
        <w:rPr>
          <w:rFonts w:ascii="Times New Roman" w:hAnsi="Times New Roman" w:cs="Times New Roman"/>
          <w:sz w:val="20"/>
          <w:szCs w:val="20"/>
        </w:rPr>
        <w:t xml:space="preserve"> A személyek szabad mozgása az Európai Unióban, Dr. Lukács Éva kéziratát átdolgozta Dr. Borbély Andrea, Budapest, 2002</w:t>
      </w:r>
      <w:r>
        <w:rPr>
          <w:rFonts w:ascii="Times New Roman" w:hAnsi="Times New Roman" w:cs="Times New Roman"/>
          <w:sz w:val="20"/>
          <w:szCs w:val="20"/>
        </w:rPr>
        <w:t>, 8. oldal</w:t>
      </w:r>
    </w:p>
    <w:p w:rsidR="00794EF8" w:rsidRDefault="00794EF8">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E99"/>
    <w:multiLevelType w:val="hybridMultilevel"/>
    <w:tmpl w:val="8C82F54A"/>
    <w:lvl w:ilvl="0" w:tplc="2DC0645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1C52E5"/>
    <w:multiLevelType w:val="hybridMultilevel"/>
    <w:tmpl w:val="AF4A52DE"/>
    <w:lvl w:ilvl="0" w:tplc="040E000B">
      <w:start w:val="1"/>
      <w:numFmt w:val="bullet"/>
      <w:lvlText w:val=""/>
      <w:lvlJc w:val="left"/>
      <w:pPr>
        <w:ind w:left="144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317A45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E0079E"/>
    <w:multiLevelType w:val="multilevel"/>
    <w:tmpl w:val="7DCC99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2D2FB3"/>
    <w:multiLevelType w:val="hybridMultilevel"/>
    <w:tmpl w:val="4D182754"/>
    <w:lvl w:ilvl="0" w:tplc="040E000B">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6C7D4536"/>
    <w:multiLevelType w:val="hybridMultilevel"/>
    <w:tmpl w:val="3AD6B374"/>
    <w:lvl w:ilvl="0" w:tplc="E3328988">
      <w:numFmt w:val="bullet"/>
      <w:lvlText w:val="-"/>
      <w:lvlJc w:val="left"/>
      <w:pPr>
        <w:ind w:left="720" w:hanging="360"/>
      </w:pPr>
      <w:rPr>
        <w:rFonts w:ascii="Monotype Corsiva" w:eastAsiaTheme="minorHAnsi" w:hAnsi="Monotype Corsiva" w:cstheme="minorBid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1375"/>
    <w:rsid w:val="000010BB"/>
    <w:rsid w:val="00032FAE"/>
    <w:rsid w:val="00044515"/>
    <w:rsid w:val="000638E2"/>
    <w:rsid w:val="0006458C"/>
    <w:rsid w:val="000814B6"/>
    <w:rsid w:val="00081809"/>
    <w:rsid w:val="00081D61"/>
    <w:rsid w:val="000838E7"/>
    <w:rsid w:val="000C7965"/>
    <w:rsid w:val="000D11F8"/>
    <w:rsid w:val="000D173D"/>
    <w:rsid w:val="000D4AF2"/>
    <w:rsid w:val="000F1FE5"/>
    <w:rsid w:val="00111960"/>
    <w:rsid w:val="001149AC"/>
    <w:rsid w:val="00122871"/>
    <w:rsid w:val="00131975"/>
    <w:rsid w:val="00131B45"/>
    <w:rsid w:val="0014178E"/>
    <w:rsid w:val="00145419"/>
    <w:rsid w:val="00145A70"/>
    <w:rsid w:val="00156298"/>
    <w:rsid w:val="001665DA"/>
    <w:rsid w:val="00172460"/>
    <w:rsid w:val="00177AB6"/>
    <w:rsid w:val="0018053F"/>
    <w:rsid w:val="00180DAA"/>
    <w:rsid w:val="0019069D"/>
    <w:rsid w:val="0019667C"/>
    <w:rsid w:val="001A064D"/>
    <w:rsid w:val="001B1D7F"/>
    <w:rsid w:val="001E4D8C"/>
    <w:rsid w:val="0020685F"/>
    <w:rsid w:val="0021425E"/>
    <w:rsid w:val="00222115"/>
    <w:rsid w:val="00245638"/>
    <w:rsid w:val="00281375"/>
    <w:rsid w:val="00295025"/>
    <w:rsid w:val="002A327F"/>
    <w:rsid w:val="002A7D15"/>
    <w:rsid w:val="002C1E61"/>
    <w:rsid w:val="002D4CA5"/>
    <w:rsid w:val="00326F59"/>
    <w:rsid w:val="00332132"/>
    <w:rsid w:val="00332327"/>
    <w:rsid w:val="003420C2"/>
    <w:rsid w:val="00344393"/>
    <w:rsid w:val="00374E99"/>
    <w:rsid w:val="003903D8"/>
    <w:rsid w:val="00395278"/>
    <w:rsid w:val="003A044E"/>
    <w:rsid w:val="003A771B"/>
    <w:rsid w:val="003B2478"/>
    <w:rsid w:val="003B7E85"/>
    <w:rsid w:val="003C25AF"/>
    <w:rsid w:val="003D1CA8"/>
    <w:rsid w:val="003F18F2"/>
    <w:rsid w:val="003F6BE4"/>
    <w:rsid w:val="004051F8"/>
    <w:rsid w:val="00427A49"/>
    <w:rsid w:val="004309D5"/>
    <w:rsid w:val="00432B98"/>
    <w:rsid w:val="00436A71"/>
    <w:rsid w:val="00460C1C"/>
    <w:rsid w:val="00464A32"/>
    <w:rsid w:val="00477B69"/>
    <w:rsid w:val="00482B58"/>
    <w:rsid w:val="00483144"/>
    <w:rsid w:val="00483EB3"/>
    <w:rsid w:val="004B76AA"/>
    <w:rsid w:val="004E3031"/>
    <w:rsid w:val="004F5AD9"/>
    <w:rsid w:val="004F72D0"/>
    <w:rsid w:val="005001F8"/>
    <w:rsid w:val="00507204"/>
    <w:rsid w:val="00520933"/>
    <w:rsid w:val="005309F6"/>
    <w:rsid w:val="005327F6"/>
    <w:rsid w:val="00537F1C"/>
    <w:rsid w:val="0054036F"/>
    <w:rsid w:val="00540CDE"/>
    <w:rsid w:val="0054287F"/>
    <w:rsid w:val="0056516F"/>
    <w:rsid w:val="005827E8"/>
    <w:rsid w:val="005A1FFC"/>
    <w:rsid w:val="005A58B6"/>
    <w:rsid w:val="005A7E55"/>
    <w:rsid w:val="005C11C5"/>
    <w:rsid w:val="005C3E10"/>
    <w:rsid w:val="00601BDB"/>
    <w:rsid w:val="00606E52"/>
    <w:rsid w:val="00611BDD"/>
    <w:rsid w:val="006201D9"/>
    <w:rsid w:val="00632F4D"/>
    <w:rsid w:val="00654FDC"/>
    <w:rsid w:val="0066538A"/>
    <w:rsid w:val="00665550"/>
    <w:rsid w:val="00675F35"/>
    <w:rsid w:val="006779CE"/>
    <w:rsid w:val="00687CF2"/>
    <w:rsid w:val="006904FF"/>
    <w:rsid w:val="006924F4"/>
    <w:rsid w:val="00694621"/>
    <w:rsid w:val="006A078C"/>
    <w:rsid w:val="006B0A6F"/>
    <w:rsid w:val="006B51F6"/>
    <w:rsid w:val="006C1F2A"/>
    <w:rsid w:val="006C37BE"/>
    <w:rsid w:val="006C66FB"/>
    <w:rsid w:val="006D4AC0"/>
    <w:rsid w:val="006D5406"/>
    <w:rsid w:val="006E13B9"/>
    <w:rsid w:val="006E7CCC"/>
    <w:rsid w:val="006F01D6"/>
    <w:rsid w:val="006F032E"/>
    <w:rsid w:val="006F6AE7"/>
    <w:rsid w:val="00703AD9"/>
    <w:rsid w:val="00722D12"/>
    <w:rsid w:val="00737E22"/>
    <w:rsid w:val="00746458"/>
    <w:rsid w:val="00751676"/>
    <w:rsid w:val="00760F74"/>
    <w:rsid w:val="00766CA7"/>
    <w:rsid w:val="00775B28"/>
    <w:rsid w:val="007815C1"/>
    <w:rsid w:val="00794EF8"/>
    <w:rsid w:val="007B30DE"/>
    <w:rsid w:val="007C583B"/>
    <w:rsid w:val="007D7426"/>
    <w:rsid w:val="007E019F"/>
    <w:rsid w:val="00803BD1"/>
    <w:rsid w:val="00807311"/>
    <w:rsid w:val="00826EDB"/>
    <w:rsid w:val="008513CB"/>
    <w:rsid w:val="0089400E"/>
    <w:rsid w:val="008A21BF"/>
    <w:rsid w:val="008B6397"/>
    <w:rsid w:val="008B74BE"/>
    <w:rsid w:val="008C0053"/>
    <w:rsid w:val="008E2A6B"/>
    <w:rsid w:val="008E3CF3"/>
    <w:rsid w:val="008F4204"/>
    <w:rsid w:val="00902A12"/>
    <w:rsid w:val="009130D4"/>
    <w:rsid w:val="009164E6"/>
    <w:rsid w:val="00935988"/>
    <w:rsid w:val="009545E8"/>
    <w:rsid w:val="0096500D"/>
    <w:rsid w:val="00994CB0"/>
    <w:rsid w:val="009A112A"/>
    <w:rsid w:val="009A490A"/>
    <w:rsid w:val="009B6867"/>
    <w:rsid w:val="009C6385"/>
    <w:rsid w:val="009E3BD8"/>
    <w:rsid w:val="009F69E0"/>
    <w:rsid w:val="00A05E6A"/>
    <w:rsid w:val="00A173D0"/>
    <w:rsid w:val="00A355EA"/>
    <w:rsid w:val="00A5225D"/>
    <w:rsid w:val="00A5358D"/>
    <w:rsid w:val="00A65234"/>
    <w:rsid w:val="00A742C2"/>
    <w:rsid w:val="00A9419C"/>
    <w:rsid w:val="00A96A02"/>
    <w:rsid w:val="00AA6B24"/>
    <w:rsid w:val="00AE4FDA"/>
    <w:rsid w:val="00AE544A"/>
    <w:rsid w:val="00AE66F2"/>
    <w:rsid w:val="00B14353"/>
    <w:rsid w:val="00B2428B"/>
    <w:rsid w:val="00B3653C"/>
    <w:rsid w:val="00B45396"/>
    <w:rsid w:val="00B52FE4"/>
    <w:rsid w:val="00B55DC9"/>
    <w:rsid w:val="00B605F8"/>
    <w:rsid w:val="00B76B7E"/>
    <w:rsid w:val="00B95A0E"/>
    <w:rsid w:val="00BB0EE6"/>
    <w:rsid w:val="00BB36B4"/>
    <w:rsid w:val="00BC1138"/>
    <w:rsid w:val="00BC7D72"/>
    <w:rsid w:val="00BD1361"/>
    <w:rsid w:val="00BD18B6"/>
    <w:rsid w:val="00BD5361"/>
    <w:rsid w:val="00BD731D"/>
    <w:rsid w:val="00BF34C7"/>
    <w:rsid w:val="00BF5B1A"/>
    <w:rsid w:val="00C3175B"/>
    <w:rsid w:val="00C327B1"/>
    <w:rsid w:val="00C3694D"/>
    <w:rsid w:val="00C46594"/>
    <w:rsid w:val="00C51F23"/>
    <w:rsid w:val="00C55455"/>
    <w:rsid w:val="00C57E67"/>
    <w:rsid w:val="00C61E33"/>
    <w:rsid w:val="00C62BEB"/>
    <w:rsid w:val="00C675A7"/>
    <w:rsid w:val="00C73CE9"/>
    <w:rsid w:val="00C80928"/>
    <w:rsid w:val="00C8197B"/>
    <w:rsid w:val="00CB70A4"/>
    <w:rsid w:val="00CC44F0"/>
    <w:rsid w:val="00CC6439"/>
    <w:rsid w:val="00CE233D"/>
    <w:rsid w:val="00CF0456"/>
    <w:rsid w:val="00CF31D0"/>
    <w:rsid w:val="00CF3BEF"/>
    <w:rsid w:val="00D078B2"/>
    <w:rsid w:val="00D3532D"/>
    <w:rsid w:val="00D66D26"/>
    <w:rsid w:val="00D9533B"/>
    <w:rsid w:val="00DB22BD"/>
    <w:rsid w:val="00DC2DCD"/>
    <w:rsid w:val="00DC55B9"/>
    <w:rsid w:val="00DC56C0"/>
    <w:rsid w:val="00DD30D8"/>
    <w:rsid w:val="00DD74E9"/>
    <w:rsid w:val="00DE5B1E"/>
    <w:rsid w:val="00DF1C4F"/>
    <w:rsid w:val="00E02442"/>
    <w:rsid w:val="00E17D7F"/>
    <w:rsid w:val="00E35A97"/>
    <w:rsid w:val="00E37A2F"/>
    <w:rsid w:val="00E7303E"/>
    <w:rsid w:val="00E8261F"/>
    <w:rsid w:val="00E850CD"/>
    <w:rsid w:val="00E853C4"/>
    <w:rsid w:val="00E91497"/>
    <w:rsid w:val="00EA383B"/>
    <w:rsid w:val="00ED1D7E"/>
    <w:rsid w:val="00EE2321"/>
    <w:rsid w:val="00EF34B6"/>
    <w:rsid w:val="00EF4436"/>
    <w:rsid w:val="00F00172"/>
    <w:rsid w:val="00F031EA"/>
    <w:rsid w:val="00F239D9"/>
    <w:rsid w:val="00F2507A"/>
    <w:rsid w:val="00F26AB0"/>
    <w:rsid w:val="00F40D5B"/>
    <w:rsid w:val="00F82E31"/>
    <w:rsid w:val="00F8543A"/>
    <w:rsid w:val="00FA2459"/>
    <w:rsid w:val="00FA2E72"/>
    <w:rsid w:val="00FA79DA"/>
    <w:rsid w:val="00FB0BCB"/>
    <w:rsid w:val="00FC1C51"/>
    <w:rsid w:val="00FE0F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94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B51F6"/>
    <w:pPr>
      <w:ind w:left="720"/>
      <w:contextualSpacing/>
    </w:pPr>
  </w:style>
  <w:style w:type="paragraph" w:styleId="Lbjegyzetszveg">
    <w:name w:val="footnote text"/>
    <w:basedOn w:val="Norml"/>
    <w:link w:val="LbjegyzetszvegChar"/>
    <w:uiPriority w:val="99"/>
    <w:semiHidden/>
    <w:unhideWhenUsed/>
    <w:rsid w:val="000645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458C"/>
    <w:rPr>
      <w:sz w:val="20"/>
      <w:szCs w:val="20"/>
    </w:rPr>
  </w:style>
  <w:style w:type="character" w:styleId="Lbjegyzet-hivatkozs">
    <w:name w:val="footnote reference"/>
    <w:basedOn w:val="Bekezdsalapbettpusa"/>
    <w:uiPriority w:val="99"/>
    <w:semiHidden/>
    <w:unhideWhenUsed/>
    <w:rsid w:val="0006458C"/>
    <w:rPr>
      <w:vertAlign w:val="superscript"/>
    </w:rPr>
  </w:style>
  <w:style w:type="paragraph" w:styleId="Nincstrkz">
    <w:name w:val="No Spacing"/>
    <w:uiPriority w:val="1"/>
    <w:qFormat/>
    <w:rsid w:val="00A05E6A"/>
    <w:pPr>
      <w:spacing w:after="0" w:line="240" w:lineRule="auto"/>
    </w:pPr>
  </w:style>
  <w:style w:type="character" w:styleId="Hiperhivatkozs">
    <w:name w:val="Hyperlink"/>
    <w:basedOn w:val="Bekezdsalapbettpusa"/>
    <w:uiPriority w:val="99"/>
    <w:unhideWhenUsed/>
    <w:rsid w:val="00A05E6A"/>
    <w:rPr>
      <w:color w:val="0000FF" w:themeColor="hyperlink"/>
      <w:u w:val="single"/>
    </w:rPr>
  </w:style>
  <w:style w:type="paragraph" w:styleId="NormlWeb">
    <w:name w:val="Normal (Web)"/>
    <w:basedOn w:val="Norml"/>
    <w:uiPriority w:val="99"/>
    <w:semiHidden/>
    <w:unhideWhenUsed/>
    <w:rsid w:val="00180D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803BD1"/>
    <w:rPr>
      <w:i/>
      <w:iCs/>
    </w:rPr>
  </w:style>
</w:styles>
</file>

<file path=word/webSettings.xml><?xml version="1.0" encoding="utf-8"?>
<w:webSettings xmlns:r="http://schemas.openxmlformats.org/officeDocument/2006/relationships" xmlns:w="http://schemas.openxmlformats.org/wordprocessingml/2006/main">
  <w:divs>
    <w:div w:id="441192396">
      <w:bodyDiv w:val="1"/>
      <w:marLeft w:val="0"/>
      <w:marRight w:val="0"/>
      <w:marTop w:val="0"/>
      <w:marBottom w:val="0"/>
      <w:divBdr>
        <w:top w:val="none" w:sz="0" w:space="0" w:color="auto"/>
        <w:left w:val="none" w:sz="0" w:space="0" w:color="auto"/>
        <w:bottom w:val="none" w:sz="0" w:space="0" w:color="auto"/>
        <w:right w:val="none" w:sz="0" w:space="0" w:color="auto"/>
      </w:divBdr>
    </w:div>
    <w:div w:id="457377128">
      <w:bodyDiv w:val="1"/>
      <w:marLeft w:val="0"/>
      <w:marRight w:val="0"/>
      <w:marTop w:val="0"/>
      <w:marBottom w:val="0"/>
      <w:divBdr>
        <w:top w:val="none" w:sz="0" w:space="0" w:color="auto"/>
        <w:left w:val="none" w:sz="0" w:space="0" w:color="auto"/>
        <w:bottom w:val="none" w:sz="0" w:space="0" w:color="auto"/>
        <w:right w:val="none" w:sz="0" w:space="0" w:color="auto"/>
      </w:divBdr>
    </w:div>
    <w:div w:id="465245284">
      <w:bodyDiv w:val="1"/>
      <w:marLeft w:val="0"/>
      <w:marRight w:val="0"/>
      <w:marTop w:val="0"/>
      <w:marBottom w:val="0"/>
      <w:divBdr>
        <w:top w:val="none" w:sz="0" w:space="0" w:color="auto"/>
        <w:left w:val="none" w:sz="0" w:space="0" w:color="auto"/>
        <w:bottom w:val="none" w:sz="0" w:space="0" w:color="auto"/>
        <w:right w:val="none" w:sz="0" w:space="0" w:color="auto"/>
      </w:divBdr>
    </w:div>
    <w:div w:id="836070941">
      <w:bodyDiv w:val="1"/>
      <w:marLeft w:val="0"/>
      <w:marRight w:val="0"/>
      <w:marTop w:val="0"/>
      <w:marBottom w:val="0"/>
      <w:divBdr>
        <w:top w:val="none" w:sz="0" w:space="0" w:color="auto"/>
        <w:left w:val="none" w:sz="0" w:space="0" w:color="auto"/>
        <w:bottom w:val="none" w:sz="0" w:space="0" w:color="auto"/>
        <w:right w:val="none" w:sz="0" w:space="0" w:color="auto"/>
      </w:divBdr>
      <w:divsChild>
        <w:div w:id="1290042208">
          <w:marLeft w:val="0"/>
          <w:marRight w:val="0"/>
          <w:marTop w:val="0"/>
          <w:marBottom w:val="0"/>
          <w:divBdr>
            <w:top w:val="none" w:sz="0" w:space="0" w:color="auto"/>
            <w:left w:val="none" w:sz="0" w:space="0" w:color="auto"/>
            <w:bottom w:val="none" w:sz="0" w:space="0" w:color="auto"/>
            <w:right w:val="none" w:sz="0" w:space="0" w:color="auto"/>
          </w:divBdr>
          <w:divsChild>
            <w:div w:id="940336774">
              <w:marLeft w:val="0"/>
              <w:marRight w:val="0"/>
              <w:marTop w:val="0"/>
              <w:marBottom w:val="0"/>
              <w:divBdr>
                <w:top w:val="none" w:sz="0" w:space="0" w:color="auto"/>
                <w:left w:val="none" w:sz="0" w:space="0" w:color="auto"/>
                <w:bottom w:val="none" w:sz="0" w:space="0" w:color="auto"/>
                <w:right w:val="none" w:sz="0" w:space="0" w:color="auto"/>
              </w:divBdr>
              <w:divsChild>
                <w:div w:id="1108817348">
                  <w:marLeft w:val="0"/>
                  <w:marRight w:val="0"/>
                  <w:marTop w:val="0"/>
                  <w:marBottom w:val="0"/>
                  <w:divBdr>
                    <w:top w:val="none" w:sz="0" w:space="0" w:color="auto"/>
                    <w:left w:val="none" w:sz="0" w:space="0" w:color="auto"/>
                    <w:bottom w:val="none" w:sz="0" w:space="0" w:color="auto"/>
                    <w:right w:val="none" w:sz="0" w:space="0" w:color="auto"/>
                  </w:divBdr>
                  <w:divsChild>
                    <w:div w:id="1765302414">
                      <w:marLeft w:val="0"/>
                      <w:marRight w:val="0"/>
                      <w:marTop w:val="0"/>
                      <w:marBottom w:val="0"/>
                      <w:divBdr>
                        <w:top w:val="none" w:sz="0" w:space="0" w:color="auto"/>
                        <w:left w:val="none" w:sz="0" w:space="0" w:color="auto"/>
                        <w:bottom w:val="none" w:sz="0" w:space="0" w:color="auto"/>
                        <w:right w:val="none" w:sz="0" w:space="0" w:color="auto"/>
                      </w:divBdr>
                      <w:divsChild>
                        <w:div w:id="2024357782">
                          <w:marLeft w:val="0"/>
                          <w:marRight w:val="0"/>
                          <w:marTop w:val="0"/>
                          <w:marBottom w:val="450"/>
                          <w:divBdr>
                            <w:top w:val="none" w:sz="0" w:space="0" w:color="auto"/>
                            <w:left w:val="none" w:sz="0" w:space="0" w:color="auto"/>
                            <w:bottom w:val="none" w:sz="0" w:space="0" w:color="auto"/>
                            <w:right w:val="none" w:sz="0" w:space="0" w:color="auto"/>
                          </w:divBdr>
                          <w:divsChild>
                            <w:div w:id="977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782">
      <w:bodyDiv w:val="1"/>
      <w:marLeft w:val="0"/>
      <w:marRight w:val="0"/>
      <w:marTop w:val="0"/>
      <w:marBottom w:val="0"/>
      <w:divBdr>
        <w:top w:val="none" w:sz="0" w:space="0" w:color="auto"/>
        <w:left w:val="none" w:sz="0" w:space="0" w:color="auto"/>
        <w:bottom w:val="none" w:sz="0" w:space="0" w:color="auto"/>
        <w:right w:val="none" w:sz="0" w:space="0" w:color="auto"/>
      </w:divBdr>
      <w:divsChild>
        <w:div w:id="958142640">
          <w:marLeft w:val="0"/>
          <w:marRight w:val="0"/>
          <w:marTop w:val="0"/>
          <w:marBottom w:val="0"/>
          <w:divBdr>
            <w:top w:val="none" w:sz="0" w:space="0" w:color="auto"/>
            <w:left w:val="none" w:sz="0" w:space="0" w:color="auto"/>
            <w:bottom w:val="none" w:sz="0" w:space="0" w:color="auto"/>
            <w:right w:val="none" w:sz="0" w:space="0" w:color="auto"/>
          </w:divBdr>
          <w:divsChild>
            <w:div w:id="1825006083">
              <w:marLeft w:val="0"/>
              <w:marRight w:val="0"/>
              <w:marTop w:val="0"/>
              <w:marBottom w:val="0"/>
              <w:divBdr>
                <w:top w:val="none" w:sz="0" w:space="0" w:color="auto"/>
                <w:left w:val="none" w:sz="0" w:space="0" w:color="auto"/>
                <w:bottom w:val="none" w:sz="0" w:space="0" w:color="auto"/>
                <w:right w:val="none" w:sz="0" w:space="0" w:color="auto"/>
              </w:divBdr>
              <w:divsChild>
                <w:div w:id="763381247">
                  <w:marLeft w:val="0"/>
                  <w:marRight w:val="0"/>
                  <w:marTop w:val="0"/>
                  <w:marBottom w:val="0"/>
                  <w:divBdr>
                    <w:top w:val="none" w:sz="0" w:space="0" w:color="auto"/>
                    <w:left w:val="none" w:sz="0" w:space="0" w:color="auto"/>
                    <w:bottom w:val="none" w:sz="0" w:space="0" w:color="auto"/>
                    <w:right w:val="none" w:sz="0" w:space="0" w:color="auto"/>
                  </w:divBdr>
                  <w:divsChild>
                    <w:div w:id="924267802">
                      <w:marLeft w:val="0"/>
                      <w:marRight w:val="0"/>
                      <w:marTop w:val="0"/>
                      <w:marBottom w:val="0"/>
                      <w:divBdr>
                        <w:top w:val="none" w:sz="0" w:space="0" w:color="auto"/>
                        <w:left w:val="none" w:sz="0" w:space="0" w:color="auto"/>
                        <w:bottom w:val="none" w:sz="0" w:space="0" w:color="auto"/>
                        <w:right w:val="none" w:sz="0" w:space="0" w:color="auto"/>
                      </w:divBdr>
                      <w:divsChild>
                        <w:div w:id="1490631132">
                          <w:marLeft w:val="0"/>
                          <w:marRight w:val="0"/>
                          <w:marTop w:val="0"/>
                          <w:marBottom w:val="450"/>
                          <w:divBdr>
                            <w:top w:val="none" w:sz="0" w:space="0" w:color="auto"/>
                            <w:left w:val="none" w:sz="0" w:space="0" w:color="auto"/>
                            <w:bottom w:val="none" w:sz="0" w:space="0" w:color="auto"/>
                            <w:right w:val="none" w:sz="0" w:space="0" w:color="auto"/>
                          </w:divBdr>
                          <w:divsChild>
                            <w:div w:id="12411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30994">
      <w:bodyDiv w:val="1"/>
      <w:marLeft w:val="0"/>
      <w:marRight w:val="0"/>
      <w:marTop w:val="0"/>
      <w:marBottom w:val="0"/>
      <w:divBdr>
        <w:top w:val="none" w:sz="0" w:space="0" w:color="auto"/>
        <w:left w:val="none" w:sz="0" w:space="0" w:color="auto"/>
        <w:bottom w:val="none" w:sz="0" w:space="0" w:color="auto"/>
        <w:right w:val="none" w:sz="0" w:space="0" w:color="auto"/>
      </w:divBdr>
    </w:div>
    <w:div w:id="1040396362">
      <w:bodyDiv w:val="1"/>
      <w:marLeft w:val="0"/>
      <w:marRight w:val="0"/>
      <w:marTop w:val="0"/>
      <w:marBottom w:val="0"/>
      <w:divBdr>
        <w:top w:val="none" w:sz="0" w:space="0" w:color="auto"/>
        <w:left w:val="none" w:sz="0" w:space="0" w:color="auto"/>
        <w:bottom w:val="none" w:sz="0" w:space="0" w:color="auto"/>
        <w:right w:val="none" w:sz="0" w:space="0" w:color="auto"/>
      </w:divBdr>
    </w:div>
    <w:div w:id="1238321280">
      <w:bodyDiv w:val="1"/>
      <w:marLeft w:val="0"/>
      <w:marRight w:val="0"/>
      <w:marTop w:val="0"/>
      <w:marBottom w:val="0"/>
      <w:divBdr>
        <w:top w:val="none" w:sz="0" w:space="0" w:color="auto"/>
        <w:left w:val="none" w:sz="0" w:space="0" w:color="auto"/>
        <w:bottom w:val="none" w:sz="0" w:space="0" w:color="auto"/>
        <w:right w:val="none" w:sz="0" w:space="0" w:color="auto"/>
      </w:divBdr>
    </w:div>
    <w:div w:id="1291286299">
      <w:bodyDiv w:val="1"/>
      <w:marLeft w:val="0"/>
      <w:marRight w:val="0"/>
      <w:marTop w:val="0"/>
      <w:marBottom w:val="0"/>
      <w:divBdr>
        <w:top w:val="none" w:sz="0" w:space="0" w:color="auto"/>
        <w:left w:val="none" w:sz="0" w:space="0" w:color="auto"/>
        <w:bottom w:val="none" w:sz="0" w:space="0" w:color="auto"/>
        <w:right w:val="none" w:sz="0" w:space="0" w:color="auto"/>
      </w:divBdr>
    </w:div>
    <w:div w:id="1412434348">
      <w:bodyDiv w:val="1"/>
      <w:marLeft w:val="0"/>
      <w:marRight w:val="0"/>
      <w:marTop w:val="0"/>
      <w:marBottom w:val="0"/>
      <w:divBdr>
        <w:top w:val="none" w:sz="0" w:space="0" w:color="auto"/>
        <w:left w:val="none" w:sz="0" w:space="0" w:color="auto"/>
        <w:bottom w:val="none" w:sz="0" w:space="0" w:color="auto"/>
        <w:right w:val="none" w:sz="0" w:space="0" w:color="auto"/>
      </w:divBdr>
    </w:div>
    <w:div w:id="1430854326">
      <w:bodyDiv w:val="1"/>
      <w:marLeft w:val="0"/>
      <w:marRight w:val="0"/>
      <w:marTop w:val="0"/>
      <w:marBottom w:val="0"/>
      <w:divBdr>
        <w:top w:val="none" w:sz="0" w:space="0" w:color="auto"/>
        <w:left w:val="none" w:sz="0" w:space="0" w:color="auto"/>
        <w:bottom w:val="none" w:sz="0" w:space="0" w:color="auto"/>
        <w:right w:val="none" w:sz="0" w:space="0" w:color="auto"/>
      </w:divBdr>
    </w:div>
    <w:div w:id="1446073938">
      <w:bodyDiv w:val="1"/>
      <w:marLeft w:val="0"/>
      <w:marRight w:val="0"/>
      <w:marTop w:val="0"/>
      <w:marBottom w:val="0"/>
      <w:divBdr>
        <w:top w:val="none" w:sz="0" w:space="0" w:color="auto"/>
        <w:left w:val="none" w:sz="0" w:space="0" w:color="auto"/>
        <w:bottom w:val="none" w:sz="0" w:space="0" w:color="auto"/>
        <w:right w:val="none" w:sz="0" w:space="0" w:color="auto"/>
      </w:divBdr>
    </w:div>
    <w:div w:id="1565524780">
      <w:bodyDiv w:val="1"/>
      <w:marLeft w:val="0"/>
      <w:marRight w:val="0"/>
      <w:marTop w:val="0"/>
      <w:marBottom w:val="0"/>
      <w:divBdr>
        <w:top w:val="none" w:sz="0" w:space="0" w:color="auto"/>
        <w:left w:val="none" w:sz="0" w:space="0" w:color="auto"/>
        <w:bottom w:val="none" w:sz="0" w:space="0" w:color="auto"/>
        <w:right w:val="none" w:sz="0" w:space="0" w:color="auto"/>
      </w:divBdr>
    </w:div>
    <w:div w:id="1570653243">
      <w:bodyDiv w:val="1"/>
      <w:marLeft w:val="0"/>
      <w:marRight w:val="0"/>
      <w:marTop w:val="0"/>
      <w:marBottom w:val="0"/>
      <w:divBdr>
        <w:top w:val="none" w:sz="0" w:space="0" w:color="auto"/>
        <w:left w:val="none" w:sz="0" w:space="0" w:color="auto"/>
        <w:bottom w:val="none" w:sz="0" w:space="0" w:color="auto"/>
        <w:right w:val="none" w:sz="0" w:space="0" w:color="auto"/>
      </w:divBdr>
    </w:div>
    <w:div w:id="1698701118">
      <w:bodyDiv w:val="1"/>
      <w:marLeft w:val="0"/>
      <w:marRight w:val="0"/>
      <w:marTop w:val="0"/>
      <w:marBottom w:val="0"/>
      <w:divBdr>
        <w:top w:val="none" w:sz="0" w:space="0" w:color="auto"/>
        <w:left w:val="none" w:sz="0" w:space="0" w:color="auto"/>
        <w:bottom w:val="none" w:sz="0" w:space="0" w:color="auto"/>
        <w:right w:val="none" w:sz="0" w:space="0" w:color="auto"/>
      </w:divBdr>
    </w:div>
    <w:div w:id="1968537505">
      <w:bodyDiv w:val="1"/>
      <w:marLeft w:val="0"/>
      <w:marRight w:val="0"/>
      <w:marTop w:val="0"/>
      <w:marBottom w:val="0"/>
      <w:divBdr>
        <w:top w:val="none" w:sz="0" w:space="0" w:color="auto"/>
        <w:left w:val="none" w:sz="0" w:space="0" w:color="auto"/>
        <w:bottom w:val="none" w:sz="0" w:space="0" w:color="auto"/>
        <w:right w:val="none" w:sz="0" w:space="0" w:color="auto"/>
      </w:divBdr>
    </w:div>
    <w:div w:id="20985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meetdocs/2004_2009/documents/dt/571/571873/571873hu.pdf" TargetMode="External"/><Relationship Id="rId13" Type="http://schemas.openxmlformats.org/officeDocument/2006/relationships/hyperlink" Target="http://www.biztositas.hu/Hirek-Informaciok/Biztositasi-szemle/2006-aprilis/Amit-az-EU-gazdasagi-es-penzugyi-politikairol-tudni-ke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ppti.hu/szakteruletek/szakkepzes/leonardo/jogaink/magyar%20jogi/2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google.com/viewer?a=v&amp;q=cache:ePGkUj2iQB4J:www.bmeip.hu/download/engemiserint/Szemelyek%2520szabad%2520mozgasa.pdf+szem%C3%A9lyek+szabad+mozg%C3%A1sa&amp;hl=hu&amp;gl=hu&amp;pid=bl&amp;srcid=ADGEESgX63mXjhfqE_D6ltdu_2-nTdZCyc8VLcdIiUm2-CwLdvwxTh7kYcx6midqqojS-0bMoP56cqj68x4ENSu2exgW166QpRxol1_CgYBn8ecXPoJnx2RXlf4gxomkEJQSr2L1mR3y&amp;sig=AHIEtbTMjgh4jcP_aDFvR-psajK2EkOt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cache.googleusercontent.com/search?q=cache:7WAghtqbfZsJ:www.euvonal.hu/index.php%3Fop%3Dkozossegi_politikak%26id%3D14+szem%C3%A9lyek+szabad+mozg%C3%A1sa&amp;cd=1&amp;hl=hu&amp;ct=clnk&amp;gl=hu" TargetMode="External"/><Relationship Id="rId4" Type="http://schemas.openxmlformats.org/officeDocument/2006/relationships/settings" Target="settings.xml"/><Relationship Id="rId9" Type="http://schemas.openxmlformats.org/officeDocument/2006/relationships/hyperlink" Target="http://www.irm.gov.hu/i/irm.gov.hu/files/downloads/Fooldal/Szakmai_munka/Europai_Unios_Ugyek/Archivum/finalsegedletmunk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vonal.hu/index.php?op=kozossegi_politikak&amp;id=14" TargetMode="External"/><Relationship Id="rId7" Type="http://schemas.openxmlformats.org/officeDocument/2006/relationships/hyperlink" Target="http://www.biztositas.hu/Hirek-Informaciok/Biztositasi-szemle/2006-aprilis/Amit-az-EU-gazdasagi-es-penzugyi-politikairol-tudni-kell.html" TargetMode="External"/><Relationship Id="rId2" Type="http://schemas.openxmlformats.org/officeDocument/2006/relationships/hyperlink" Target="http://www.euvonal.hu/index.php?op=kozossegi_politikak&amp;id=14" TargetMode="External"/><Relationship Id="rId1" Type="http://schemas.openxmlformats.org/officeDocument/2006/relationships/hyperlink" Target="http://www.europarl.europa.eu/meetdocs/2004_2009/documents/dt/571/571873/571873hu.pdf" TargetMode="External"/><Relationship Id="rId6" Type="http://schemas.openxmlformats.org/officeDocument/2006/relationships/hyperlink" Target="http://www.biztositas.hu/Hirek-Informaciok/Biztositasi-szemle/2006-aprilis/Amit-az-EU-gazdasagi-es-penzugyi-politikairol-tudni-kell.html" TargetMode="External"/><Relationship Id="rId5" Type="http://schemas.openxmlformats.org/officeDocument/2006/relationships/hyperlink" Target="http://www.biztositas.hu/Hirek-Informaciok/Biztositasi-szemle/2006-aprilis/Amit-az-EU-gazdasagi-es-penzugyi-politikairol-tudni-kell.html" TargetMode="External"/><Relationship Id="rId4" Type="http://schemas.openxmlformats.org/officeDocument/2006/relationships/hyperlink" Target="http://eur-lex.europa.eu/LexUriServ/LexUriServ.do?uri=CELEX:62002C0456:HU: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7B6E-114F-4720-9862-4A344698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4687</Words>
  <Characters>32345</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Kósa Tiborné</dc:creator>
  <cp:keywords/>
  <dc:description/>
  <cp:lastModifiedBy>Kósa Tiborné</cp:lastModifiedBy>
  <cp:revision>25</cp:revision>
  <dcterms:created xsi:type="dcterms:W3CDTF">2010-11-19T23:04:00Z</dcterms:created>
  <dcterms:modified xsi:type="dcterms:W3CDTF">2014-03-15T17:13:00Z</dcterms:modified>
</cp:coreProperties>
</file>